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3.png" ContentType="image/png"/>
  <Override PartName="/word/media/rId214.png" ContentType="image/png"/>
  <Override PartName="/word/media/rId47.png" ContentType="image/png"/>
  <Override PartName="/word/media/rId141.jpg" ContentType="image/jpeg"/>
  <Override PartName="/word/media/rId177.pdf" ContentType="application/pdf"/>
  <Override PartName="/word/media/rId52.png" ContentType="image/png"/>
  <Override PartName="/word/media/rId107.png" ContentType="image/png"/>
  <Override PartName="/word/media/rId38.png" ContentType="image/png"/>
  <Override PartName="/word/media/rId87.png" ContentType="image/png"/>
  <Override PartName="/word/media/rId80.png" ContentType="image/png"/>
  <Override PartName="/word/media/rId83.png" ContentType="image/png"/>
  <Override PartName="/word/media/rId43.png" ContentType="image/png"/>
  <Override PartName="/word/media/rId34.jpg" ContentType="image/jpeg"/>
  <Override PartName="/word/media/rId111.png" ContentType="image/png"/>
  <Override PartName="/word/media/rId208.png" ContentType="image/png"/>
  <Override PartName="/word/media/rId131.png" ContentType="image/png"/>
  <Override PartName="/word/media/rId76.png" ContentType="image/png"/>
  <Override PartName="/word/media/rId29.png" ContentType="image/png"/>
  <Override PartName="/word/media/rId170.png" ContentType="image/png"/>
  <Override PartName="/word/media/rId26.png" ContentType="image/png"/>
  <Override PartName="/word/media/rId151.pdf" ContentType="application/pdf"/>
  <Override PartName="/word/media/rId154.jpg" ContentType="image/jpeg"/>
  <Override PartName="/word/media/rId218.png" ContentType="image/png"/>
  <Override PartName="/word/media/rId450.pdf" ContentType="application/pdf"/>
  <Override PartName="/word/media/rId67.png" ContentType="image/png"/>
  <Override PartName="/word/media/rId184.pdf" ContentType="application/pdf"/>
  <Override PartName="/word/media/rId181.pdf" ContentType="application/pdf"/>
  <Override PartName="/word/media/rId125.png" ContentType="image/png"/>
  <Override PartName="/word/media/rId457.png" ContentType="image/png"/>
  <Override PartName="/word/media/rId134.png" ContentType="image/png"/>
  <Override PartName="/word/media/rId187.pdf" ContentType="application/pdf"/>
  <Override PartName="/word/media/rId190.pdf" ContentType="application/pdf"/>
  <Override PartName="/word/media/rId462.pdf" ContentType="application/pdf"/>
  <Override PartName="/word/media/rId147.pdf" ContentType="application/pdf"/>
  <Override PartName="/word/media/rId221.png" ContentType="image/png"/>
  <Override PartName="/word/media/rId174.pdf" ContentType="application/pdf"/>
  <Override PartName="/word/media/rId61.png" ContentType="image/png"/>
  <Override PartName="/word/media/rId57.png" ContentType="image/png"/>
  <Override PartName="/word/media/rId92.png" ContentType="image/png"/>
  <Override PartName="/word/media/rId70.png" ContentType="image/png"/>
  <Override PartName="/word/media/rId116.pdf" ContentType="application/pdf"/>
  <Override PartName="/word/media/rId99.pdf" ContentType="application/pdf"/>
  <Override PartName="/word/media/rId1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Fouille</w:t>
      </w:r>
      <w:r>
        <w:t xml:space="preserve"> </w:t>
      </w:r>
      <w:r>
        <w:t xml:space="preserve">de</w:t>
      </w:r>
      <w:r>
        <w:t xml:space="preserve"> </w:t>
      </w:r>
      <w:r>
        <w:t xml:space="preserve">données</w:t>
      </w:r>
      <w:r>
        <w:t xml:space="preserve"> </w:t>
      </w:r>
      <w:r>
        <w:t xml:space="preserve">spatio-temporelles</w:t>
      </w:r>
      <w:r>
        <w:t xml:space="preserve"> </w:t>
      </w:r>
      <w:r>
        <w:t xml:space="preserve">pour</w:t>
      </w:r>
      <w:r>
        <w:t xml:space="preserve"> </w:t>
      </w:r>
      <w:r>
        <w:t xml:space="preserve">l’étude</w:t>
      </w:r>
      <w:r>
        <w:t xml:space="preserve"> </w:t>
      </w:r>
      <w:r>
        <w:t xml:space="preserve">du</w:t>
      </w:r>
      <w:r>
        <w:t xml:space="preserve"> </w:t>
      </w:r>
      <w:r>
        <w:t xml:space="preserve">risque</w:t>
      </w:r>
      <w:r>
        <w:t xml:space="preserve"> </w:t>
      </w:r>
      <w:r>
        <w:t xml:space="preserve">de</w:t>
      </w:r>
      <w:r>
        <w:t xml:space="preserve"> </w:t>
      </w:r>
      <w:r>
        <w:t xml:space="preserve">transmission</w:t>
      </w:r>
      <w:r>
        <w:t xml:space="preserve"> </w:t>
      </w:r>
      <w:r>
        <w:t xml:space="preserve">résiduelle</w:t>
      </w:r>
      <w:r>
        <w:t xml:space="preserve"> </w:t>
      </w:r>
      <w:r>
        <w:t xml:space="preserve">du</w:t>
      </w:r>
      <w:r>
        <w:t xml:space="preserve"> </w:t>
      </w:r>
      <w:r>
        <w:t xml:space="preserve">paludisme</w:t>
      </w:r>
      <w:r>
        <w:t xml:space="preserve"> </w:t>
      </w:r>
      <w:r>
        <w:t xml:space="preserve">à</w:t>
      </w:r>
      <w:r>
        <w:t xml:space="preserve"> </w:t>
      </w:r>
      <w:r>
        <w:t xml:space="preserve">échelle</w:t>
      </w:r>
      <w:r>
        <w:t xml:space="preserve"> </w:t>
      </w:r>
      <w:r>
        <w:t xml:space="preserve">paysagère</w:t>
      </w:r>
      <w:r>
        <w:t xml:space="preserve"> </w:t>
      </w:r>
      <w:r>
        <w:t xml:space="preserve">en</w:t>
      </w:r>
      <w:r>
        <w:t xml:space="preserve"> </w:t>
      </w:r>
      <w:r>
        <w:t xml:space="preserve">milieu</w:t>
      </w:r>
      <w:r>
        <w:t xml:space="preserve"> </w:t>
      </w:r>
      <w:r>
        <w:t xml:space="preserve">rural</w:t>
      </w:r>
      <w:r>
        <w:t xml:space="preserve"> </w:t>
      </w:r>
      <w:r>
        <w:t xml:space="preserve">ouest-africain</w:t>
      </w:r>
    </w:p>
    <w:p>
      <w:pPr>
        <w:pStyle w:val="Author"/>
      </w:pPr>
      <w:r>
        <w:t xml:space="preserve">Paul</w:t>
      </w:r>
      <w:r>
        <w:t xml:space="preserve"> </w:t>
      </w:r>
      <w:r>
        <w:t xml:space="preserve">TACONET</w:t>
      </w:r>
    </w:p>
    <w:p>
      <w:pPr>
        <w:pStyle w:val="Date"/>
      </w:pPr>
      <w:r>
        <w:t xml:space="preserve">XX</w:t>
      </w:r>
      <w:r>
        <w:t xml:space="preserve"> </w:t>
      </w:r>
      <w:r>
        <w:t xml:space="preserve">Mai</w:t>
      </w:r>
      <w:r>
        <w:t xml:space="preserve"> </w:t>
      </w:r>
      <w:r>
        <w:t xml:space="preserve">2022</w:t>
      </w:r>
    </w:p>
    <w:bookmarkStart w:id="24" w:name="preliminary-content"/>
    <w:p>
      <w:pPr>
        <w:pStyle w:val="Heading1"/>
      </w:pPr>
      <w:r>
        <w:t xml:space="preserve">Preliminary Content</w:t>
      </w:r>
    </w:p>
    <w:bookmarkStart w:id="20" w:name="remerciements"/>
    <w:p>
      <w:pPr>
        <w:pStyle w:val="Heading2"/>
      </w:pPr>
      <w:r>
        <w:t xml:space="preserve">Remerciements</w:t>
      </w:r>
    </w:p>
    <w:p>
      <w:pPr>
        <w:pStyle w:val="FirstParagraph"/>
      </w:pPr>
      <w:r>
        <w:t xml:space="preserve">I want to thank a few people.</w:t>
      </w:r>
    </w:p>
    <w:bookmarkEnd w:id="20"/>
    <w:bookmarkStart w:id="21" w:name="preface"/>
    <w:p>
      <w:pPr>
        <w:pStyle w:val="Heading2"/>
      </w:pPr>
      <w:r>
        <w:t xml:space="preserve">Preface</w:t>
      </w:r>
    </w:p>
    <w:p>
      <w:pPr>
        <w:pStyle w:val="FirstParagraph"/>
      </w:pPr>
      <w:r>
        <w:t xml:space="preserve">This is an example of a thesis setup to use the reed thesis document class</w:t>
      </w:r>
      <w:r>
        <w:t xml:space="preserve"> </w:t>
      </w:r>
      <w:r>
        <w:t xml:space="preserve">(for LaTeX) and the R bookdown package, in general.</w:t>
      </w:r>
    </w:p>
    <w:bookmarkEnd w:id="21"/>
    <w:bookmarkStart w:id="22" w:name="dedication"/>
    <w:p>
      <w:pPr>
        <w:pStyle w:val="Heading2"/>
      </w:pPr>
      <w:r>
        <w:t xml:space="preserve">Dedication</w:t>
      </w:r>
    </w:p>
    <w:p>
      <w:pPr>
        <w:pStyle w:val="FirstParagraph"/>
      </w:pPr>
      <w:r>
        <w:t xml:space="preserve">You can have a dedication here if you wish.</w:t>
      </w:r>
    </w:p>
    <w:bookmarkEnd w:id="22"/>
    <w:bookmarkStart w:id="23" w:name="abstract"/>
    <w:p>
      <w:pPr>
        <w:pStyle w:val="Heading2"/>
      </w:pPr>
      <w:r>
        <w:t xml:space="preserve">Abstract</w:t>
      </w:r>
    </w:p>
    <w:p>
      <w:pPr>
        <w:pStyle w:val="FirstParagraph"/>
      </w:pPr>
      <w:r>
        <w:t xml:space="preserve">The preface pretty much says it all.</w:t>
      </w:r>
    </w:p>
    <w:p>
      <w:pPr>
        <w:pStyle w:val="BodyText"/>
      </w:pPr>
      <w:r>
        <w:t xml:space="preserve">Second paragraph of abstract starts here.</w:t>
      </w:r>
      <w:r>
        <w:br/>
      </w:r>
    </w:p>
    <w:p>
      <w:pPr>
        <w:pStyle w:val="BodyText"/>
      </w:pPr>
      <w:r>
        <w:t xml:space="preserve">and the third here</w:t>
      </w:r>
    </w:p>
    <w:p>
      <w:pPr>
        <w:pStyle w:val="BodyText"/>
      </w:pPr>
      <w:r>
        <w:t xml:space="preserve">(ref:who)</w:t>
      </w:r>
      <w:r>
        <w:t xml:space="preserve"> </w:t>
      </w:r>
      <w:r>
        <w:t xml:space="preserve">(</w:t>
      </w:r>
      <w:hyperlink w:anchor="ref-who_2021">
        <w:r>
          <w:rPr>
            <w:rStyle w:val="Hyperlink"/>
          </w:rPr>
          <w:t xml:space="preserve">WHO, 2021</w:t>
        </w:r>
      </w:hyperlink>
      <w:r>
        <w:t xml:space="preserve">)</w:t>
      </w:r>
    </w:p>
    <w:bookmarkEnd w:id="23"/>
    <w:bookmarkEnd w:id="24"/>
    <w:bookmarkStart w:id="25" w:name="préface"/>
    <w:p>
      <w:pPr>
        <w:pStyle w:val="Heading1"/>
      </w:pPr>
      <w:r>
        <w:t xml:space="preserve">Préface</w:t>
      </w:r>
    </w:p>
    <w:p>
      <w:pPr>
        <w:pStyle w:val="FirstParagraph"/>
      </w:pPr>
      <w:r>
        <w:rPr>
          <w:iCs/>
          <w:i/>
        </w:rPr>
        <w:t xml:space="preserve">Transmission résiduelle du paludisme</w:t>
      </w:r>
      <w:r>
        <w:br/>
      </w:r>
    </w:p>
    <w:p>
      <w:pPr>
        <w:pStyle w:val="BodyText"/>
      </w:pPr>
      <w:r>
        <w:t xml:space="preserve">Les deux premières décennies du XXI</w:t>
      </w:r>
      <m:oMath>
        <m:sSup>
          <m:e>
            <m:r>
              <m:t>​</m:t>
            </m:r>
          </m:e>
          <m:sup>
            <m:r>
              <m:t>è</m:t>
            </m:r>
            <m:r>
              <m:t>m</m:t>
            </m:r>
            <m:r>
              <m:t>e</m:t>
            </m:r>
          </m:sup>
        </m:sSup>
      </m:oMath>
      <w:r>
        <w:t xml:space="preserve"> </w:t>
      </w:r>
      <w:r>
        <w:t xml:space="preserve">siècle ont représenté un âge d’or dans l’histoire de la lutte contre le paludisme. Au cours de ces années, grâce à un engagement scientifique, politique et financier sans précédent, le fardeau du paludisme a été significativement allégé à l’échelle mondiale. Plusieurs milliards de moustiquaires imprégnées d’insecticide, de tests de détection rapide, de traitements à base d’artémisine, ont été distribués sur tous les continents touchés par la maladie</w:t>
      </w:r>
      <w:r>
        <w:t xml:space="preserve"> </w:t>
      </w:r>
      <w:r>
        <w:t xml:space="preserve">(</w:t>
      </w:r>
      <w:hyperlink w:anchor="ref-who_2021">
        <w:r>
          <w:rPr>
            <w:rStyle w:val="Hyperlink"/>
          </w:rPr>
          <w:t xml:space="preserve">WHO, 2021</w:t>
        </w:r>
      </w:hyperlink>
      <w:r>
        <w:t xml:space="preserve">)</w:t>
      </w:r>
      <w:r>
        <w:t xml:space="preserve">. Ces efforts considérables effectués dans la prévention, le diagnostic et le traitement du paludisme, ont porté leur fruit : au niveau mondial entre 2000 et 2019 (avant la pandémie de covid-19), l’incidence du paludisme a reculé de 29 % et la mortalité de 60 %, des niveaux jusqu’alors inédits</w:t>
      </w:r>
      <w:r>
        <w:t xml:space="preserve"> </w:t>
      </w:r>
      <w:r>
        <w:t xml:space="preserve">(</w:t>
      </w:r>
      <w:hyperlink w:anchor="ref-who_2020_world_nodate">
        <w:r>
          <w:rPr>
            <w:rStyle w:val="Hyperlink"/>
          </w:rPr>
          <w:t xml:space="preserve">WHO, 2020</w:t>
        </w:r>
      </w:hyperlink>
      <w:r>
        <w:t xml:space="preserve">)</w:t>
      </w:r>
      <w:r>
        <w:t xml:space="preserve">. Sur cette même période, 1,5 milliards de cas de paludisme et 7,6 millions de décès associés ont été évités dans le monde</w:t>
      </w:r>
      <w:r>
        <w:t xml:space="preserve"> </w:t>
      </w:r>
      <w:r>
        <w:t xml:space="preserve">(</w:t>
      </w:r>
      <w:hyperlink w:anchor="ref-who_2020_world_nodate">
        <w:r>
          <w:rPr>
            <w:rStyle w:val="Hyperlink"/>
          </w:rPr>
          <w:t xml:space="preserve">WHO, 2020</w:t>
        </w:r>
      </w:hyperlink>
      <w:r>
        <w:t xml:space="preserve">)</w:t>
      </w:r>
      <w:r>
        <w:t xml:space="preserve">.</w:t>
      </w:r>
      <w:r>
        <w:br/>
      </w:r>
    </w:p>
    <w:p>
      <w:pPr>
        <w:pStyle w:val="BodyText"/>
      </w:pPr>
      <w:r>
        <w:t xml:space="preserve">Mais depuis quelques années, les progrès stagnent. L’incidence ne recule plus aussi rapidement : alors qu’elle diminuait de 4,25 % en moyenne par an sur la période 2000 – 2015, elle ne baissait plus que de 2 % par an sur la période 2015 - 2019</w:t>
      </w:r>
      <w:r>
        <w:t xml:space="preserve"> </w:t>
      </w:r>
      <w:r>
        <w:t xml:space="preserve">(</w:t>
      </w:r>
      <w:hyperlink w:anchor="ref-who_2020_world_nodate">
        <w:r>
          <w:rPr>
            <w:rStyle w:val="Hyperlink"/>
          </w:rPr>
          <w:t xml:space="preserve">WHO, 2020</w:t>
        </w:r>
      </w:hyperlink>
      <w:r>
        <w:t xml:space="preserve">)</w:t>
      </w:r>
      <w:r>
        <w:t xml:space="preserve">. De même, la mortalité associée à la maladie ne diminue plus aussi rapidement. En cause : des changements socio-économiques et environnementaux, mais surtout des menaces biologiques telles que la résistance des parasites responsables du paludisme aux antipaludiques ou encore celle des moustiques vecteurs aux insecticides utilisés dans la lutte anti-vectorielle. Aussi, dans des zones pourtant couvertes par les outils de lutte anti-vectorielle conventionnels, la transmission du paludisme reste soutenue, voire réaugmente : cette transmission est appelée transmission</w:t>
      </w:r>
      <w:r>
        <w:t xml:space="preserve"> </w:t>
      </w:r>
      <w:r>
        <w:rPr>
          <w:iCs/>
          <w:i/>
        </w:rPr>
        <w:t xml:space="preserve">résiduelle</w:t>
      </w:r>
      <w:r>
        <w:t xml:space="preserve"> </w:t>
      </w:r>
      <w:r>
        <w:t xml:space="preserve">du paludisme</w:t>
      </w:r>
      <w:r>
        <w:t xml:space="preserve"> </w:t>
      </w:r>
      <w:r>
        <w:t xml:space="preserve">(</w:t>
      </w:r>
      <w:hyperlink w:anchor="ref-killeen_characterizing_2014">
        <w:r>
          <w:rPr>
            <w:rStyle w:val="Hyperlink"/>
          </w:rPr>
          <w:t xml:space="preserve">Gerry F. Killeen, 2014</w:t>
        </w:r>
      </w:hyperlink>
      <w:r>
        <w:t xml:space="preserve">)</w:t>
      </w:r>
      <w:r>
        <w:t xml:space="preserve">.</w:t>
      </w:r>
      <w:r>
        <w:br/>
      </w:r>
    </w:p>
    <w:p>
      <w:pPr>
        <w:pStyle w:val="BodyText"/>
      </w:pPr>
      <w:r>
        <w:t xml:space="preserve">Comment redynamiser les progrès ? Dans un contexte de ressources (financières, humaines, matérielles) limitées et d’émergence de menaces contre les outils de lutte actuels, la communauté scientifique propose de repenser certaines approches de gestion de la maladie. En particulier, elle incite à développer de nouveaux outils de lutte contre la maladie, et à passer d’une démarche « universelle » - où les efforts sont déployés uniformément sur un territoire donné – à une démarche localisée, où les interventions sont optimisées en fonction des spécificités locales et du niveau de risque, notamment de transmission résiduelle de la maladie.</w:t>
      </w:r>
      <w:r>
        <w:br/>
      </w:r>
    </w:p>
    <w:p>
      <w:pPr>
        <w:pStyle w:val="BodyText"/>
      </w:pPr>
      <w:r>
        <w:t xml:space="preserve">La mise en œuvre de ces approches nécessite d’approfondir les connaissances sur le risque de transmission résiduelle et sur sa distribution spatio-temporelle. L’enjeu est donc double. D’une part, il s’agit d’approfondir les connaissances fondamentales sur les phénomènes entrant en jeu dans le risque de transmission résiduelle. Ces connaissances peuvent permettre de développer de nouveaux outils de lutte. D’autre part, pour gérer le risque au niveau local, il est nécessaire d’acquérir une connaissance fine de la distribution spatio-temporelle de ce risque sur un territoire d’intérêt : comprendre les déterminants de son hétérogénéité et être en mesure de la prédire. Une telle connaissance permet ensuite de définir puis déployer les interventions qui sont susceptibles d’avoir le plus d’impact au regard de la situation locale.</w:t>
      </w:r>
      <w:r>
        <w:br/>
      </w:r>
    </w:p>
    <w:p>
      <w:pPr>
        <w:pStyle w:val="BodyText"/>
      </w:pPr>
      <w:r>
        <w:t xml:space="preserve">Comment acquérir ces connaissances ? Le risque de transmission résiduelle est directement lié à la probabilité qu’un moustique vecteur du paludisme pique un humain. Cette probabilité de contact entre l’homme et le vecteur dépend elle-même en grande partie de l’environnement dans lequel les populations, humaines et vectorielles, évoluent. Une compréhension fine et holistique des interactions complexes, sur le terrain, entre le vecteur, l’homme, le parasite, et l’environnement est donc nécéssaire pour élaborer et mettre en œuvre ces nouvelles approches de la gestion du risque. A cet égard, la fouille de données constitue une approche intéressante et en plein essor permettant de mieux appréhender l’étude de ce genre de systèmes complexes.</w:t>
      </w:r>
    </w:p>
    <w:p>
      <w:r>
        <w:br w:type="page"/>
      </w:r>
    </w:p>
    <w:p>
      <w:pPr>
        <w:pStyle w:val="BodyText"/>
      </w:pPr>
      <w:r>
        <w:rPr>
          <w:iCs/>
          <w:i/>
        </w:rPr>
        <w:t xml:space="preserve">Données volumineuses, fouille de données et méthodes statistiques pour l’étude des systèmes complexes</w:t>
      </w:r>
      <w:r>
        <w:br/>
      </w:r>
    </w:p>
    <w:p>
      <w:pPr>
        <w:pStyle w:val="BodyText"/>
      </w:pPr>
      <w:r>
        <w:t xml:space="preserve">Le début du XXI</w:t>
      </w:r>
      <m:oMath>
        <m:sSup>
          <m:e>
            <m:r>
              <m:t>​</m:t>
            </m:r>
          </m:e>
          <m:sup>
            <m:r>
              <m:t>è</m:t>
            </m:r>
            <m:r>
              <m:t>m</m:t>
            </m:r>
            <m:r>
              <m:t>e</m:t>
            </m:r>
          </m:sup>
        </m:sSup>
      </m:oMath>
      <w:r>
        <w:t xml:space="preserve"> </w:t>
      </w:r>
      <w:r>
        <w:t xml:space="preserve">siècle a aussi représenté le point de basculement dans l’ère de la donnée numérique. Des paramètres biophysiques de notre planète à nos comportements individuels, les réalités physiques, matérielles, de notre univers, sont toujours plus mesurées et archivées. En parallèle et en lien direct, les ressources informatiques et les méthodes statistiques ont connu une véritable révolution afin d’offrir les capacités de traiter ce « déluge de données ». A l’interface entre informatique, statistiques et connaissances métiers, la science des données a émergé en tant que discipline scientifique visant à exploiter ces « données volumineuses » pour mieux comprendre et prédire le monde qui nous entoure.</w:t>
      </w:r>
      <w:r>
        <w:br/>
      </w:r>
    </w:p>
    <w:p>
      <w:pPr>
        <w:pStyle w:val="BodyText"/>
      </w:pPr>
      <w:r>
        <w:t xml:space="preserve">Dans un premier temps cantonnée à des fins commerciales, la science des données est en train de prendre une part toujours plus importante dans l’ensemble des disciplines de la recherche scientifique ; avec une prise de conscience croissante que ces données volumineuses peuvent jouer un rôle dans le processus de vérification, voire création, de connaissance scientifique. Ainsi, les projets de recherche collectent toujours plus de données pour étudier des phénomènes d’intérêt. Mais dans certaines disciplines, si la démarche d’utilisation de données à des fins de vérification d’hypothèses scientifiques pré-établies paraît souvent bien connue et maîtrisée par les chercheurs, le processus de création de connaissances ou nouvelles hypothèses scientifiques à partir de données volumineuses et modèles statistiques semble généralement moins maîtrisé.</w:t>
      </w:r>
      <w:r>
        <w:br/>
      </w:r>
    </w:p>
    <w:p>
      <w:pPr>
        <w:pStyle w:val="BodyText"/>
      </w:pPr>
      <w:r>
        <w:t xml:space="preserve">Comment, au-delà de la « simple » vérification d’hypothèses scientifiques pré-établies, les données et méthodes statistiques peuvent-elles nous aider à générer de nouvelles connaissances ou thérories scientifiques ? En quoi la modélisation statistique et les données servent-elles les objectifs fondamentaux de la recherche scientifique (créer, consolider, vérifier des hypothèses) ? Comment exploiter pleinement leur potentiel ? En particulier, comment peuvent-elles appuyer l’étude des systèmes biologiques complexes, tel que le système environnement – hôte - vecteur ?</w:t>
      </w:r>
      <w:r>
        <w:br/>
      </w:r>
    </w:p>
    <w:p>
      <w:r>
        <w:br w:type="page"/>
      </w:r>
    </w:p>
    <w:p>
      <w:pPr>
        <w:pStyle w:val="BodyText"/>
      </w:pPr>
      <w:r>
        <w:rPr>
          <w:iCs/>
          <w:i/>
        </w:rPr>
        <w:t xml:space="preserve">Présentation générale de la thèse et de l’organisation du manuscrit</w:t>
      </w:r>
      <w:r>
        <w:br/>
      </w:r>
    </w:p>
    <w:p>
      <w:pPr>
        <w:pStyle w:val="BodyText"/>
      </w:pPr>
      <w:r>
        <w:t xml:space="preserve">Cette thèse étudie le risque de transmission résiduelle du paludisme, et en particulier les liens entre environnement et vecteurs du paludisme, en utilisant des méthodes avancées de modélisation statistique. Bien que les problématiques abordées concernent un grand nombre de pays africains, la présente étude se concentre sur deux zones rurales ouest-africaines endémiques du paludisme de la taille de districts sanitaires, situées au Burkina Faso et en Côte d’Ivoire. La thèse se veut à l’interface entre les sciences de l’entomologie médicale, de la géo-épidémiologie, et des données. L’objectif principal est d’améliorer certaines connaissances fondamentales sur le risque de transmission résiduelle du paludisme dans nos deux zones d’étude, en étudiant la bio-écologie des vecteurs. Le second objectif est d’offrir au lecteur un éclairage épistémologique et méthodologique sur le rôle de la modélisation statistique dans la recherche, et en particulier sur son potentiel pour l’étude des systèmes biologiques complexes ; les travaux de thèse en représentant des cas d’étude concrêts.</w:t>
      </w:r>
      <w:r>
        <w:br/>
      </w:r>
    </w:p>
    <w:p>
      <w:pPr>
        <w:pStyle w:val="BodyText"/>
      </w:pPr>
      <w:r>
        <w:t xml:space="preserve">Le manuscrit se divise en 7 chapitres répartis dans 3 grandes parties. La première partie (chapitres 1 et 2) a pour objectif de dresser un cadre théorique et bibliographique sur le paludisme et la modélisation statistique utile à la compréhension des travaux de thèse ; et de présenter les objectifs et enjeux de la thèse. La deuxième partie du manuscrit (chapitres 3 à 6) constitue le cœur du travail de thèse. Enfin, dans la troisième partie (chapitre 7), nous discutons l’ensemble résultats.</w:t>
      </w:r>
    </w:p>
    <w:bookmarkEnd w:id="25"/>
    <w:bookmarkStart w:id="106" w:name="chapitre-1"/>
    <w:p>
      <w:pPr>
        <w:pStyle w:val="Heading1"/>
      </w:pPr>
      <w:r>
        <w:t xml:space="preserve">Contexte scientifique : Paludisme, transmission résiduelle et enjeux de la thèse</w:t>
      </w:r>
    </w:p>
    <w:p>
      <w:pPr>
        <w:pStyle w:val="FirstParagraph"/>
      </w:pPr>
      <w:r>
        <w:t xml:space="preserve">Dans ce chapitre, nous introduisons tout d’abord certaines notions d’entomologie médicale essentielles à la compréhension de la thèse (cycle de la transmission du paludisme, cycle biologique et comportement trophique des vecteurs du paludisme, liens environnement-vecteur). Dans un second temps, nous présentons le concept et les outils de lutte anti-vectorielle, ainsi que leurs limites actuelles ; ce qui nous conduit finalement au concept de transmission résiduelle du paludisme. Dans une dernière partie, nous énonçons les enjeux de la thèse et précisons l’organisation générale du manuscrit.</w:t>
      </w:r>
    </w:p>
    <w:bookmarkStart w:id="75" w:name="paludisme-et-lutte-anti-vectorielle"/>
    <w:p>
      <w:pPr>
        <w:pStyle w:val="Heading2"/>
      </w:pPr>
      <w:r>
        <w:t xml:space="preserve">Paludisme et lutte anti-vectorielle</w:t>
      </w:r>
    </w:p>
    <w:bookmarkStart w:id="32" w:name="X2e1a6689cf35e28a09dcbe3b587836ca0bbfe03"/>
    <w:p>
      <w:pPr>
        <w:pStyle w:val="Heading3"/>
      </w:pPr>
      <w:r>
        <w:t xml:space="preserve">Fardeau du paludisme dans le monde et en Afrique</w:t>
      </w:r>
    </w:p>
    <w:p>
      <w:pPr>
        <w:pStyle w:val="FirstParagraph"/>
      </w:pPr>
      <w:r>
        <w:t xml:space="preserve">Environ la moitié de la population mondiale est exposée au risque de paludisme</w:t>
      </w:r>
      <w:r>
        <w:t xml:space="preserve"> </w:t>
      </w:r>
      <w:r>
        <w:t xml:space="preserve">(</w:t>
      </w:r>
      <w:hyperlink w:anchor="ref-who_2021">
        <w:r>
          <w:rPr>
            <w:rStyle w:val="Hyperlink"/>
          </w:rPr>
          <w:t xml:space="preserve">WHO, 2021</w:t>
        </w:r>
      </w:hyperlink>
      <w:r>
        <w:t xml:space="preserve">)</w:t>
      </w:r>
      <w:r>
        <w:t xml:space="preserve"> </w:t>
      </w:r>
      <w:r>
        <w:t xml:space="preserve">(figure</w:t>
      </w:r>
      <w:r>
        <w:t xml:space="preserve"> </w:t>
      </w:r>
      <w:r>
        <w:t xml:space="preserve">1</w:t>
      </w:r>
      <w:r>
        <w:t xml:space="preserve">). En 2020, le paludisme était endémique dans 85 pays</w:t>
      </w:r>
      <w:r>
        <w:t xml:space="preserve"> </w:t>
      </w:r>
      <w:r>
        <w:t xml:space="preserve">(</w:t>
      </w:r>
      <w:hyperlink w:anchor="ref-who_2021">
        <w:r>
          <w:rPr>
            <w:rStyle w:val="Hyperlink"/>
          </w:rPr>
          <w:t xml:space="preserve">WHO, 2021</w:t>
        </w:r>
      </w:hyperlink>
      <w:r>
        <w:t xml:space="preserve">)</w:t>
      </w:r>
      <w:r>
        <w:t xml:space="preserve"> </w:t>
      </w:r>
      <w:r>
        <w:t xml:space="preserve">et était l’une des quatre maladie infectieuses (avec la tuberculose, le sida et le covid-19) ayant causé le plus de décès au niveau mondial</w:t>
      </w:r>
      <w:r>
        <w:t xml:space="preserve"> </w:t>
      </w:r>
      <w:r>
        <w:t xml:space="preserve">(</w:t>
      </w:r>
      <w:hyperlink w:anchor="ref-le_monde_covid-19_2020">
        <w:r>
          <w:rPr>
            <w:rStyle w:val="Hyperlink"/>
          </w:rPr>
          <w:t xml:space="preserve">Le Monde, 2020</w:t>
        </w:r>
      </w:hyperlink>
      <w:r>
        <w:t xml:space="preserve">)</w:t>
      </w:r>
      <w:r>
        <w:t xml:space="preserve">. Cette année la, l’OMS estimait le nombre de cas de paludisme a 241 millions (59 cas / 1000 personnes à risque), et le nombre de décès attribuables à la maladie à 627 000 (15 décès pour 100 000 personnes à risque).</w:t>
      </w:r>
      <w:r>
        <w:br/>
      </w:r>
    </w:p>
    <w:p>
      <w:pPr>
        <w:pStyle w:val="CaptionedFigure"/>
      </w:pPr>
      <w:r>
        <w:drawing>
          <wp:inline>
            <wp:extent cx="5334000" cy="2646431"/>
            <wp:effectExtent b="0" l="0" r="0" t="0"/>
            <wp:docPr descr="Figure 1: Pays d’endémicité palustre en 2000 et leur statut en 2020 (ref:who)" title="" id="27" name="Picture"/>
            <a:graphic>
              <a:graphicData uri="http://schemas.openxmlformats.org/drawingml/2006/picture">
                <pic:pic>
                  <pic:nvPicPr>
                    <pic:cNvPr descr="figure/map_global_malaria_countries.png" id="28" name="Picture"/>
                    <pic:cNvPicPr>
                      <a:picLocks noChangeArrowheads="1" noChangeAspect="1"/>
                    </pic:cNvPicPr>
                  </pic:nvPicPr>
                  <pic:blipFill>
                    <a:blip r:embed="rId26"/>
                    <a:stretch>
                      <a:fillRect/>
                    </a:stretch>
                  </pic:blipFill>
                  <pic:spPr bwMode="auto">
                    <a:xfrm>
                      <a:off x="0" y="0"/>
                      <a:ext cx="5334000" cy="2646431"/>
                    </a:xfrm>
                    <a:prstGeom prst="rect">
                      <a:avLst/>
                    </a:prstGeom>
                    <a:noFill/>
                    <a:ln w="9525">
                      <a:noFill/>
                      <a:headEnd/>
                      <a:tailEnd/>
                    </a:ln>
                  </pic:spPr>
                </pic:pic>
              </a:graphicData>
            </a:graphic>
          </wp:inline>
        </w:drawing>
      </w:r>
    </w:p>
    <w:p>
      <w:pPr>
        <w:pStyle w:val="ImageCaption"/>
      </w:pPr>
      <w:r>
        <w:t xml:space="preserve">Figure 1: Pays d’endémicité palustre en 2000 et leur statut en 2020 (ref:who)</w:t>
      </w:r>
    </w:p>
    <w:p>
      <w:pPr>
        <w:pStyle w:val="BodyText"/>
      </w:pPr>
      <w:r>
        <w:t xml:space="preserve">Le poids du paludisme dans le monde est inégalement réparti, à la fois géographiquement et démographiquement. Ainsi par exemple, en 2020, 95 % des cas et 96 % de la mortalité étaient concentrés en Afrique sub-saharienne ; et les enfants de moins de 5 ans, tranche de la population la plus vulnérable, représentaient 77 % de la mortalité</w:t>
      </w:r>
      <w:r>
        <w:t xml:space="preserve"> </w:t>
      </w:r>
      <w:r>
        <w:t xml:space="preserve">(</w:t>
      </w:r>
      <w:hyperlink w:anchor="ref-who_2021">
        <w:r>
          <w:rPr>
            <w:rStyle w:val="Hyperlink"/>
          </w:rPr>
          <w:t xml:space="preserve">WHO, 2021</w:t>
        </w:r>
      </w:hyperlink>
      <w:r>
        <w:t xml:space="preserve">)</w:t>
      </w:r>
      <w:r>
        <w:t xml:space="preserve">.</w:t>
      </w:r>
      <w:r>
        <w:br/>
      </w:r>
    </w:p>
    <w:p>
      <w:pPr>
        <w:pStyle w:val="BodyText"/>
      </w:pPr>
      <w:r>
        <w:t xml:space="preserve">La morbidité et mortalité liés au paludisme au cours de ces vingt dernières années en Afrique et dans le monde a connu trois phases (figure</w:t>
      </w:r>
      <w:r>
        <w:t xml:space="preserve"> </w:t>
      </w:r>
      <w:r>
        <w:t xml:space="preserve">2</w:t>
      </w:r>
      <w:r>
        <w:t xml:space="preserve">). La période 2000 - 2015 a été marquée par une réduction forte et continue de la maladie. L’incidence du paludisme a diminué de 27 % sur cette période, et la mortalité de 52 %. Entre 2015 et 2019, les progrès ont stagné. Sur cette période, l’incidence n’a diminué que de 2 % entre 2015 et 2019 et la mortalité de 16 %. Enfin, l’année 2020 a été marquée par une augmentation significative des cas et de la mortalité, en partie liés à la pandémie de covid-19 qui a perturbé les services sanitaires</w:t>
      </w:r>
      <w:r>
        <w:t xml:space="preserve"> </w:t>
      </w:r>
      <w:r>
        <w:t xml:space="preserve">(</w:t>
      </w:r>
      <w:hyperlink w:anchor="ref-who_2021">
        <w:r>
          <w:rPr>
            <w:rStyle w:val="Hyperlink"/>
          </w:rPr>
          <w:t xml:space="preserve">WHO, 2021</w:t>
        </w:r>
      </w:hyperlink>
      <w:r>
        <w:t xml:space="preserve">)</w:t>
      </w:r>
      <w:r>
        <w:t xml:space="preserve">.</w:t>
      </w:r>
      <w:r>
        <w:br/>
      </w:r>
    </w:p>
    <w:p>
      <w:pPr>
        <w:pStyle w:val="CaptionedFigure"/>
      </w:pPr>
      <w:r>
        <w:drawing>
          <wp:inline>
            <wp:extent cx="5334000" cy="1772048"/>
            <wp:effectExtent b="0" l="0" r="0" t="0"/>
            <wp:docPr descr="Figure 2: Morbité (à gauche) et mortalité (à droite) annuelle liées au paludisme dans la région Afrique de l’OMS entre 2000 et 2020 (ref:who)" title="" id="30" name="Picture"/>
            <a:graphic>
              <a:graphicData uri="http://schemas.openxmlformats.org/drawingml/2006/picture">
                <pic:pic>
                  <pic:nvPicPr>
                    <pic:cNvPr descr="figure/malaria_africa_trends.png" id="31" name="Picture"/>
                    <pic:cNvPicPr>
                      <a:picLocks noChangeArrowheads="1" noChangeAspect="1"/>
                    </pic:cNvPicPr>
                  </pic:nvPicPr>
                  <pic:blipFill>
                    <a:blip r:embed="rId29"/>
                    <a:stretch>
                      <a:fillRect/>
                    </a:stretch>
                  </pic:blipFill>
                  <pic:spPr bwMode="auto">
                    <a:xfrm>
                      <a:off x="0" y="0"/>
                      <a:ext cx="5334000" cy="1772048"/>
                    </a:xfrm>
                    <a:prstGeom prst="rect">
                      <a:avLst/>
                    </a:prstGeom>
                    <a:noFill/>
                    <a:ln w="9525">
                      <a:noFill/>
                      <a:headEnd/>
                      <a:tailEnd/>
                    </a:ln>
                  </pic:spPr>
                </pic:pic>
              </a:graphicData>
            </a:graphic>
          </wp:inline>
        </w:drawing>
      </w:r>
    </w:p>
    <w:p>
      <w:pPr>
        <w:pStyle w:val="ImageCaption"/>
      </w:pPr>
      <w:r>
        <w:t xml:space="preserve">Figure 2: Morbité (à gauche) et mortalité (à droite) annuelle liées au paludisme dans la région Afrique de l’OMS entre 2000 et 2020 (ref:who)</w:t>
      </w:r>
    </w:p>
    <w:bookmarkEnd w:id="32"/>
    <w:bookmarkStart w:id="42" w:name="lagent-pathogène-plasmodium"/>
    <w:p>
      <w:pPr>
        <w:pStyle w:val="Heading3"/>
      </w:pPr>
      <w:r>
        <w:t xml:space="preserve">L’agent pathogène :</w:t>
      </w:r>
      <w:r>
        <w:t xml:space="preserve"> </w:t>
      </w:r>
      <w:r>
        <w:rPr>
          <w:iCs/>
          <w:i/>
        </w:rPr>
        <w:t xml:space="preserve">Plasmodium</w:t>
      </w:r>
    </w:p>
    <w:p>
      <w:pPr>
        <w:pStyle w:val="FirstParagraph"/>
      </w:pPr>
      <w:r>
        <w:t xml:space="preserve">Le paludisme humain est une maladie infectieuse à transmission vectorielle faisant intervenir trois protagonistes : l’homme</w:t>
      </w:r>
      <w:r>
        <w:rPr>
          <w:rStyle w:val="FootnoteReference"/>
        </w:rPr>
        <w:footnoteReference w:id="33"/>
      </w:r>
      <w:r>
        <w:t xml:space="preserve"> </w:t>
      </w:r>
      <w:r>
        <w:t xml:space="preserve">(dit hôte) est infecté par un protozoaire parasite (dit agent infectieux) du genre</w:t>
      </w:r>
      <w:r>
        <w:t xml:space="preserve"> </w:t>
      </w:r>
      <w:r>
        <w:rPr>
          <w:iCs/>
          <w:i/>
        </w:rPr>
        <w:t xml:space="preserve">Plasmodium</w:t>
      </w:r>
      <w:r>
        <w:t xml:space="preserve"> </w:t>
      </w:r>
      <w:r>
        <w:t xml:space="preserve">qui lui a été transmis par un moustique (dit vecteur) du genre</w:t>
      </w:r>
      <w:r>
        <w:t xml:space="preserve"> </w:t>
      </w:r>
      <w:r>
        <w:rPr>
          <w:iCs/>
          <w:i/>
        </w:rPr>
        <w:t xml:space="preserve">Anopheles</w:t>
      </w:r>
      <w:r>
        <w:t xml:space="preserve">. Les rôles de</w:t>
      </w:r>
      <w:r>
        <w:t xml:space="preserve"> </w:t>
      </w:r>
      <w:r>
        <w:rPr>
          <w:iCs/>
          <w:i/>
        </w:rPr>
        <w:t xml:space="preserve">Plasmodium</w:t>
      </w:r>
      <w:r>
        <w:t xml:space="preserve"> </w:t>
      </w:r>
      <w:r>
        <w:t xml:space="preserve">et</w:t>
      </w:r>
      <w:r>
        <w:t xml:space="preserve"> </w:t>
      </w:r>
      <w:r>
        <w:rPr>
          <w:iCs/>
          <w:i/>
        </w:rPr>
        <w:t xml:space="preserve">Anopheles</w:t>
      </w:r>
      <w:r>
        <w:t xml:space="preserve"> </w:t>
      </w:r>
      <w:r>
        <w:t xml:space="preserve">dans la maladie ont été découverts respectivement en 1880 et 1898</w:t>
      </w:r>
      <w:r>
        <w:t xml:space="preserve"> </w:t>
      </w:r>
      <w:r>
        <w:t xml:space="preserve">(</w:t>
      </w:r>
      <w:hyperlink w:anchor="ref-cox_history_2010">
        <w:r>
          <w:rPr>
            <w:rStyle w:val="Hyperlink"/>
          </w:rPr>
          <w:t xml:space="preserve">Cox, 2010</w:t>
        </w:r>
      </w:hyperlink>
      <w:r>
        <w:t xml:space="preserve">)</w:t>
      </w:r>
      <w:r>
        <w:t xml:space="preserve">. Dans les prochaines sections, nous résumons le cycle biologique du parasite et du vecteur, et apportons quelques précisions supplémentaires, d’importance pour la thèse, sur les vecteurs.</w:t>
      </w:r>
      <w:r>
        <w:br/>
      </w:r>
    </w:p>
    <w:bookmarkStart w:id="37" w:name="diversité-et-distribution"/>
    <w:p>
      <w:pPr>
        <w:pStyle w:val="Heading4"/>
      </w:pPr>
      <w:r>
        <w:t xml:space="preserve">Diversité et distribution</w:t>
      </w:r>
    </w:p>
    <w:p>
      <w:pPr>
        <w:pStyle w:val="FirstParagraph"/>
      </w:pPr>
      <w:r>
        <w:t xml:space="preserve">Parmi les 156 espèces de Plasmodium décrites, cinq causent le paludisme chez l’humain :</w:t>
      </w:r>
      <w:r>
        <w:t xml:space="preserve"> </w:t>
      </w:r>
      <w:r>
        <w:rPr>
          <w:iCs/>
          <w:i/>
        </w:rPr>
        <w:t xml:space="preserve">Plasmodium falciparum</w:t>
      </w:r>
      <w:r>
        <w:t xml:space="preserve">,</w:t>
      </w:r>
      <w:r>
        <w:t xml:space="preserve"> </w:t>
      </w:r>
      <w:r>
        <w:rPr>
          <w:iCs/>
          <w:i/>
        </w:rPr>
        <w:t xml:space="preserve">Plasmodium vivax</w:t>
      </w:r>
      <w:r>
        <w:t xml:space="preserve">,</w:t>
      </w:r>
      <w:r>
        <w:t xml:space="preserve"> </w:t>
      </w:r>
      <w:r>
        <w:rPr>
          <w:iCs/>
          <w:i/>
        </w:rPr>
        <w:t xml:space="preserve">Plasmodium ovale</w:t>
      </w:r>
      <w:r>
        <w:t xml:space="preserve">,</w:t>
      </w:r>
      <w:r>
        <w:t xml:space="preserve"> </w:t>
      </w:r>
      <w:r>
        <w:rPr>
          <w:iCs/>
          <w:i/>
        </w:rPr>
        <w:t xml:space="preserve">Plasmodium malariae</w:t>
      </w:r>
      <w:r>
        <w:t xml:space="preserve">, et</w:t>
      </w:r>
      <w:r>
        <w:t xml:space="preserve"> </w:t>
      </w:r>
      <w:r>
        <w:rPr>
          <w:iCs/>
          <w:i/>
        </w:rPr>
        <w:t xml:space="preserve">Plasmodium knowlesi</w:t>
      </w:r>
      <w:r>
        <w:t xml:space="preserve">. La plus pathogène des cinq espèces,</w:t>
      </w:r>
      <w:r>
        <w:t xml:space="preserve"> </w:t>
      </w:r>
      <w:r>
        <w:rPr>
          <w:iCs/>
          <w:i/>
        </w:rPr>
        <w:t xml:space="preserve">P. falciparum</w:t>
      </w:r>
      <w:r>
        <w:t xml:space="preserve">, est à l’origine de la très grande majorité des cas de paludisme enregistrés en Afrique</w:t>
      </w:r>
      <w:r>
        <w:t xml:space="preserve"> </w:t>
      </w:r>
      <w:r>
        <w:t xml:space="preserve">(</w:t>
      </w:r>
      <w:hyperlink w:anchor="ref-who_2021">
        <w:r>
          <w:rPr>
            <w:rStyle w:val="Hyperlink"/>
          </w:rPr>
          <w:t xml:space="preserve">WHO, 2021</w:t>
        </w:r>
      </w:hyperlink>
      <w:r>
        <w:t xml:space="preserve">)</w:t>
      </w:r>
      <w:r>
        <w:t xml:space="preserve"> </w:t>
      </w:r>
      <w:r>
        <w:t xml:space="preserve">(figure</w:t>
      </w:r>
      <w:r>
        <w:t xml:space="preserve"> </w:t>
      </w:r>
      <w:r>
        <w:t xml:space="preserve">3</w:t>
      </w:r>
      <w:r>
        <w:t xml:space="preserve">). Hors Afrique, c’est</w:t>
      </w:r>
      <w:r>
        <w:t xml:space="preserve"> </w:t>
      </w:r>
      <w:r>
        <w:rPr>
          <w:iCs/>
          <w:i/>
        </w:rPr>
        <w:t xml:space="preserve">P. vivax</w:t>
      </w:r>
      <w:r>
        <w:t xml:space="preserve"> </w:t>
      </w:r>
      <w:r>
        <w:t xml:space="preserve">qui prédomine</w:t>
      </w:r>
      <w:r>
        <w:t xml:space="preserve"> </w:t>
      </w:r>
      <w:r>
        <w:t xml:space="preserve">(</w:t>
      </w:r>
      <w:hyperlink w:anchor="ref-who_2021">
        <w:r>
          <w:rPr>
            <w:rStyle w:val="Hyperlink"/>
          </w:rPr>
          <w:t xml:space="preserve">WHO, 2021</w:t>
        </w:r>
      </w:hyperlink>
      <w:r>
        <w:t xml:space="preserve">)</w:t>
      </w:r>
      <w:r>
        <w:t xml:space="preserve">.</w:t>
      </w:r>
      <w:r>
        <w:br/>
      </w:r>
    </w:p>
    <w:p>
      <w:pPr>
        <w:pStyle w:val="CaptionedFigure"/>
      </w:pPr>
      <w:r>
        <w:drawing>
          <wp:inline>
            <wp:extent cx="5334000" cy="1814115"/>
            <wp:effectExtent b="0" l="0" r="0" t="0"/>
            <wp:docPr descr="Figure 3: Taux d’incidence du paludisme à Plasmodium falciparum en 2019 (Weiss et al., 2019)" title="" id="35" name="Picture"/>
            <a:graphic>
              <a:graphicData uri="http://schemas.openxmlformats.org/drawingml/2006/picture">
                <pic:pic>
                  <pic:nvPicPr>
                    <pic:cNvPr descr="figure/global_incidence_rate_2019.jpg" id="36" name="Picture"/>
                    <pic:cNvPicPr>
                      <a:picLocks noChangeArrowheads="1" noChangeAspect="1"/>
                    </pic:cNvPicPr>
                  </pic:nvPicPr>
                  <pic:blipFill>
                    <a:blip r:embed="rId34"/>
                    <a:stretch>
                      <a:fillRect/>
                    </a:stretch>
                  </pic:blipFill>
                  <pic:spPr bwMode="auto">
                    <a:xfrm>
                      <a:off x="0" y="0"/>
                      <a:ext cx="5334000" cy="1814115"/>
                    </a:xfrm>
                    <a:prstGeom prst="rect">
                      <a:avLst/>
                    </a:prstGeom>
                    <a:noFill/>
                    <a:ln w="9525">
                      <a:noFill/>
                      <a:headEnd/>
                      <a:tailEnd/>
                    </a:ln>
                  </pic:spPr>
                </pic:pic>
              </a:graphicData>
            </a:graphic>
          </wp:inline>
        </w:drawing>
      </w:r>
    </w:p>
    <w:p>
      <w:pPr>
        <w:pStyle w:val="ImageCaption"/>
      </w:pPr>
      <w:r>
        <w:t xml:space="preserve">Figure 3: Taux d’incidence du paludisme à Plasmodium falciparum en 2019</w:t>
      </w:r>
      <w:r>
        <w:t xml:space="preserve"> </w:t>
      </w:r>
      <w:r>
        <w:t xml:space="preserve">(</w:t>
      </w:r>
      <w:hyperlink w:anchor="ref-weiss_mapping_2019">
        <w:r>
          <w:rPr>
            <w:rStyle w:val="Hyperlink"/>
          </w:rPr>
          <w:t xml:space="preserve">Weiss et al., 2019</w:t>
        </w:r>
      </w:hyperlink>
      <w:r>
        <w:t xml:space="preserve">)</w:t>
      </w:r>
    </w:p>
    <w:bookmarkEnd w:id="37"/>
    <w:bookmarkStart w:id="41" w:name="cycle-biologique"/>
    <w:p>
      <w:pPr>
        <w:pStyle w:val="Heading4"/>
      </w:pPr>
      <w:r>
        <w:t xml:space="preserve">Cycle biologique</w:t>
      </w:r>
    </w:p>
    <w:p>
      <w:pPr>
        <w:pStyle w:val="FirstParagraph"/>
      </w:pPr>
      <w:r>
        <w:t xml:space="preserve">Le cycle biologique de Plasmodium fait intervenir deux hôtes : un moustique femelle du genre</w:t>
      </w:r>
      <w:r>
        <w:t xml:space="preserve"> </w:t>
      </w:r>
      <w:r>
        <w:rPr>
          <w:iCs/>
          <w:i/>
        </w:rPr>
        <w:t xml:space="preserve">Anopheles</w:t>
      </w:r>
      <w:r>
        <w:t xml:space="preserve"> </w:t>
      </w:r>
      <w:r>
        <w:t xml:space="preserve">et un être humain (figure</w:t>
      </w:r>
      <w:r>
        <w:t xml:space="preserve"> </w:t>
      </w:r>
      <w:r>
        <w:t xml:space="preserve">4</w:t>
      </w:r>
      <w:r>
        <w:t xml:space="preserve">). Le cycle chez l’anophèle commence lorsque celui-ci prend un repas sanguin sur un humain infecté, porteur de gamétocytes. Le parasite entame alors dans l’estomac de l’anophèle une phase de multiplication sexuée aboutissant à la migration des sporozoïtes jusqu’aux glandes salivaires du moustique. Ce premier cycle, chez l’anophèle, est appelé cycle sporogonique (ou extrinsèque) et dure environ une dizaine de jours selon l’espèce plasmodiale et la température</w:t>
      </w:r>
      <w:r>
        <w:t xml:space="preserve"> </w:t>
      </w:r>
      <w:r>
        <w:t xml:space="preserve">(</w:t>
      </w:r>
      <w:hyperlink w:anchor="ref-15172">
        <w:r>
          <w:rPr>
            <w:rStyle w:val="Hyperlink"/>
          </w:rPr>
          <w:t xml:space="preserve">Baudon, Molez, &amp; Guiguemde, 1984</w:t>
        </w:r>
      </w:hyperlink>
      <w:r>
        <w:t xml:space="preserve">)</w:t>
      </w:r>
      <w:r>
        <w:t xml:space="preserve">. Lors d’une prochaine piqûre une fois le cycle sporogonique effectué, l’anophèle alors infectieux injecte les sporozoïtes à l’homme. Ces derniers migrent dans le foie pour s’y multiplier (phase exo-érythrocytaire, 8 à 10 jours), puis sont libérés dans le sang sous forme de mérozoïtes et pénètrent dans les globules rouges. S’ensuit une phase de multiplication des mérozoïtes dans les hématies, produisant de nouvelles cellules qui sont à leur tour libérées dans le sang et qui infecteront des érythrocytes sains (phase érythrocytaire). C’est cette libération qui entraîne les symptômes caractéristiques des accès palustres (frissons, chaleur et sueurs). Une partie des parasites peut également subir un processus de différenciation, aboutissant à la formation de gamétocytes mâles et femelles. Lors d’un repas de sang sur l’homme dès lors infectieux, un moustique anophèle femelle peut ingérers ces gamétocytes : le cyle recommence alors.</w:t>
      </w:r>
      <w:r>
        <w:br/>
      </w:r>
    </w:p>
    <w:p>
      <w:pPr>
        <w:pStyle w:val="CaptionedFigure"/>
      </w:pPr>
      <w:r>
        <w:drawing>
          <wp:inline>
            <wp:extent cx="5334000" cy="4273093"/>
            <wp:effectExtent b="0" l="0" r="0" t="0"/>
            <wp:docPr descr="Figure 4: Cycle de développement et de reproduction des Plasmodium spp. (CDC 2002)" title="" id="39" name="Picture"/>
            <a:graphic>
              <a:graphicData uri="http://schemas.openxmlformats.org/drawingml/2006/picture">
                <pic:pic>
                  <pic:nvPicPr>
                    <pic:cNvPr descr="figure/cycle_transmission_palu.png" id="40" name="Picture"/>
                    <pic:cNvPicPr>
                      <a:picLocks noChangeArrowheads="1" noChangeAspect="1"/>
                    </pic:cNvPicPr>
                  </pic:nvPicPr>
                  <pic:blipFill>
                    <a:blip r:embed="rId38"/>
                    <a:stretch>
                      <a:fillRect/>
                    </a:stretch>
                  </pic:blipFill>
                  <pic:spPr bwMode="auto">
                    <a:xfrm>
                      <a:off x="0" y="0"/>
                      <a:ext cx="5334000" cy="4273093"/>
                    </a:xfrm>
                    <a:prstGeom prst="rect">
                      <a:avLst/>
                    </a:prstGeom>
                    <a:noFill/>
                    <a:ln w="9525">
                      <a:noFill/>
                      <a:headEnd/>
                      <a:tailEnd/>
                    </a:ln>
                  </pic:spPr>
                </pic:pic>
              </a:graphicData>
            </a:graphic>
          </wp:inline>
        </w:drawing>
      </w:r>
    </w:p>
    <w:p>
      <w:pPr>
        <w:pStyle w:val="ImageCaption"/>
      </w:pPr>
      <w:r>
        <w:t xml:space="preserve">Figure 4: Cycle de développement et de reproduction des Plasmodium spp. (CDC 2002)</w:t>
      </w:r>
    </w:p>
    <w:bookmarkEnd w:id="41"/>
    <w:bookmarkEnd w:id="42"/>
    <w:bookmarkStart w:id="56" w:name="le-vecteur-anopheles"/>
    <w:p>
      <w:pPr>
        <w:pStyle w:val="Heading3"/>
      </w:pPr>
      <w:r>
        <w:t xml:space="preserve">Le vecteur :</w:t>
      </w:r>
      <w:r>
        <w:t xml:space="preserve"> </w:t>
      </w:r>
      <w:r>
        <w:rPr>
          <w:iCs/>
          <w:i/>
        </w:rPr>
        <w:t xml:space="preserve">Anopheles</w:t>
      </w:r>
    </w:p>
    <w:bookmarkStart w:id="46" w:name="diversité-et-distribution-1"/>
    <w:p>
      <w:pPr>
        <w:pStyle w:val="Heading4"/>
      </w:pPr>
      <w:r>
        <w:t xml:space="preserve">Diversité et distribution</w:t>
      </w:r>
    </w:p>
    <w:p>
      <w:pPr>
        <w:pStyle w:val="FirstParagraph"/>
      </w:pPr>
      <w:r>
        <w:t xml:space="preserve">Sur les plus de 3000 espèces de moustiques (Diptera : Culicidae) recensées à ce jour, environ 500 font partie du genre</w:t>
      </w:r>
      <w:r>
        <w:t xml:space="preserve"> </w:t>
      </w:r>
      <w:r>
        <w:rPr>
          <w:iCs/>
          <w:i/>
        </w:rPr>
        <w:t xml:space="preserve">Anopheles</w:t>
      </w:r>
      <w:r>
        <w:t xml:space="preserve">, dont une soixantaine est effectivement vectrice de la maladie. En Afrique sub-saharienne, on trouve au total environ 150 espèces d’anophèles, dont une trentaine vectrice de Plasmodium. Dans cette région, les principales espèces vectrices sont</w:t>
      </w:r>
      <w:r>
        <w:t xml:space="preserve"> </w:t>
      </w:r>
      <w:r>
        <w:rPr>
          <w:iCs/>
          <w:i/>
        </w:rPr>
        <w:t xml:space="preserve">An. arabiensis</w:t>
      </w:r>
      <w:r>
        <w:t xml:space="preserve">,</w:t>
      </w:r>
      <w:r>
        <w:t xml:space="preserve"> </w:t>
      </w:r>
      <w:r>
        <w:rPr>
          <w:iCs/>
          <w:i/>
        </w:rPr>
        <w:t xml:space="preserve">An. gambiae s.s.</w:t>
      </w:r>
      <w:r>
        <w:t xml:space="preserve"> </w:t>
      </w:r>
      <w:r>
        <w:t xml:space="preserve">et</w:t>
      </w:r>
      <w:r>
        <w:t xml:space="preserve"> </w:t>
      </w:r>
      <w:r>
        <w:rPr>
          <w:iCs/>
          <w:i/>
        </w:rPr>
        <w:t xml:space="preserve">An. coluzzii</w:t>
      </w:r>
      <w:r>
        <w:t xml:space="preserve"> </w:t>
      </w:r>
      <w:r>
        <w:t xml:space="preserve">du complexe Gambiae, et</w:t>
      </w:r>
      <w:r>
        <w:t xml:space="preserve"> </w:t>
      </w:r>
      <w:r>
        <w:rPr>
          <w:iCs/>
          <w:i/>
        </w:rPr>
        <w:t xml:space="preserve">An. funestus</w:t>
      </w:r>
      <w:r>
        <w:t xml:space="preserve"> </w:t>
      </w:r>
      <w:r>
        <w:t xml:space="preserve">du groupe Funestus</w:t>
      </w:r>
      <w:r>
        <w:t xml:space="preserve"> </w:t>
      </w:r>
      <w:r>
        <w:t xml:space="preserve">(</w:t>
      </w:r>
      <w:hyperlink w:anchor="ref-sinka_dominant_2010">
        <w:r>
          <w:rPr>
            <w:rStyle w:val="Hyperlink"/>
          </w:rPr>
          <w:t xml:space="preserve">Sinka et al., 2010</w:t>
        </w:r>
      </w:hyperlink>
      <w:r>
        <w:t xml:space="preserve">,</w:t>
      </w:r>
      <w:r>
        <w:t xml:space="preserve"> </w:t>
      </w:r>
      <w:hyperlink w:anchor="ref-sinka_global_2012">
        <w:r>
          <w:rPr>
            <w:rStyle w:val="Hyperlink"/>
          </w:rPr>
          <w:t xml:space="preserve">2012</w:t>
        </w:r>
      </w:hyperlink>
      <w:r>
        <w:t xml:space="preserve">)</w:t>
      </w:r>
      <w:r>
        <w:t xml:space="preserve"> </w:t>
      </w:r>
      <w:r>
        <w:t xml:space="preserve">(figure</w:t>
      </w:r>
      <w:r>
        <w:t xml:space="preserve"> </w:t>
      </w:r>
      <w:r>
        <w:t xml:space="preserve">5</w:t>
      </w:r>
      <w:r>
        <w:t xml:space="preserve">).</w:t>
      </w:r>
      <w:r>
        <w:br/>
      </w:r>
    </w:p>
    <w:p>
      <w:pPr>
        <w:pStyle w:val="CaptionedFigure"/>
      </w:pPr>
      <w:r>
        <w:drawing>
          <wp:inline>
            <wp:extent cx="5334000" cy="1399647"/>
            <wp:effectExtent b="0" l="0" r="0" t="0"/>
            <wp:docPr descr="Figure 5: Distribution spatiale d’An. gambiae s.l. et An. funestus en Afrique sub-saharienne (Moyes et al., 2020)" title="" id="44" name="Picture"/>
            <a:graphic>
              <a:graphicData uri="http://schemas.openxmlformats.org/drawingml/2006/picture">
                <pic:pic>
                  <pic:nvPicPr>
                    <pic:cNvPr descr="figure/distrib_vectors.png" id="45" name="Picture"/>
                    <pic:cNvPicPr>
                      <a:picLocks noChangeArrowheads="1" noChangeAspect="1"/>
                    </pic:cNvPicPr>
                  </pic:nvPicPr>
                  <pic:blipFill>
                    <a:blip r:embed="rId43"/>
                    <a:stretch>
                      <a:fillRect/>
                    </a:stretch>
                  </pic:blipFill>
                  <pic:spPr bwMode="auto">
                    <a:xfrm>
                      <a:off x="0" y="0"/>
                      <a:ext cx="5334000" cy="1399647"/>
                    </a:xfrm>
                    <a:prstGeom prst="rect">
                      <a:avLst/>
                    </a:prstGeom>
                    <a:noFill/>
                    <a:ln w="9525">
                      <a:noFill/>
                      <a:headEnd/>
                      <a:tailEnd/>
                    </a:ln>
                  </pic:spPr>
                </pic:pic>
              </a:graphicData>
            </a:graphic>
          </wp:inline>
        </w:drawing>
      </w:r>
    </w:p>
    <w:p>
      <w:pPr>
        <w:pStyle w:val="ImageCaption"/>
      </w:pPr>
      <w:r>
        <w:t xml:space="preserve">Figure 5: Distribution spatiale d’An. gambiae s.l. et An. funestus en Afrique sub-saharienne</w:t>
      </w:r>
      <w:r>
        <w:t xml:space="preserve"> </w:t>
      </w:r>
      <w:r>
        <w:t xml:space="preserve">(</w:t>
      </w:r>
      <w:hyperlink w:anchor="ref-moyes_evaluating_2020">
        <w:r>
          <w:rPr>
            <w:rStyle w:val="Hyperlink"/>
          </w:rPr>
          <w:t xml:space="preserve">Moyes et al., 2020</w:t>
        </w:r>
      </w:hyperlink>
      <w:r>
        <w:t xml:space="preserve">)</w:t>
      </w:r>
    </w:p>
    <w:bookmarkEnd w:id="46"/>
    <w:bookmarkStart w:id="50" w:name="cycle-biologique-1"/>
    <w:p>
      <w:pPr>
        <w:pStyle w:val="Heading4"/>
      </w:pPr>
      <w:r>
        <w:t xml:space="preserve">Cycle biologique</w:t>
      </w:r>
    </w:p>
    <w:p>
      <w:pPr>
        <w:pStyle w:val="FirstParagraph"/>
      </w:pPr>
      <w:r>
        <w:t xml:space="preserve">Le cycle biologique de l’anophèle (figure</w:t>
      </w:r>
      <w:r>
        <w:t xml:space="preserve"> </w:t>
      </w:r>
      <w:r>
        <w:t xml:space="preserve">6</w:t>
      </w:r>
      <w:r>
        <w:t xml:space="preserve">) comprend quatre stades : oeuf, larve, nymphe et âge adulte. Le stade larvaire (œuf, larve, nymphe) se déroule en milieu aquatique et dure de 1 à 3 semaines en fonction de l’espèce et de la température ; quand au stade adulte, il se déroule en milieu aérien et la durée de vie de l’anophèle femelle peut aller jusqu’à 4 semaines</w:t>
      </w:r>
      <w:r>
        <w:t xml:space="preserve"> </w:t>
      </w:r>
      <w:r>
        <w:t xml:space="preserve">(</w:t>
      </w:r>
      <w:hyperlink w:anchor="ref-holstein_biologie_1952">
        <w:r>
          <w:rPr>
            <w:rStyle w:val="Hyperlink"/>
          </w:rPr>
          <w:t xml:space="preserve">Holstein, 1952</w:t>
        </w:r>
      </w:hyperlink>
      <w:r>
        <w:t xml:space="preserve">)</w:t>
      </w:r>
      <w:r>
        <w:t xml:space="preserve">. Le stade adulte est marqué par une phase d’accouplement qui a lieu dans les 24 à 48 h suivant l’émergence. L’anophèle femelle ne copule en principe qu’une seule fois et stocke les spermatozoïdes dans une spermathèque jusqu’à sa mort. Une fois accouplée, l’anophèle femelle part en recherche d’un hôte afin prendre un repas de sang essentiel à la maturation des follicules ovariens. La piqûre est suivie d’une phase de repos au cours de laquelle la femelle digère le sang. Enfin, la femelle gravide cherche un site d’oviposition et y pond entre 40 et 100 œufs à la surface de l’eau. Après la ponte, la femelle cherche à prendre un nouveau repas sanguin afin d’effectuer une nouvelle oviposition ; et reproduit ce cycle (recherche de repas de sang, piqûre, repos, ponte) jusqu’à sa mort. Ce cycle est appelé gonotrophique et dure 2 à 5 jours en fonction, en particulier, de la température et de l’espèce</w:t>
      </w:r>
      <w:r>
        <w:t xml:space="preserve"> </w:t>
      </w:r>
      <w:r>
        <w:t xml:space="preserve">(</w:t>
      </w:r>
      <w:hyperlink w:anchor="ref-gillies_duration_1953">
        <w:r>
          <w:rPr>
            <w:rStyle w:val="Hyperlink"/>
          </w:rPr>
          <w:t xml:space="preserve">Gillies, 1953</w:t>
        </w:r>
      </w:hyperlink>
      <w:r>
        <w:t xml:space="preserve">;</w:t>
      </w:r>
      <w:r>
        <w:t xml:space="preserve"> </w:t>
      </w:r>
      <w:hyperlink w:anchor="ref-shapiro_quantifying_2017">
        <w:r>
          <w:rPr>
            <w:rStyle w:val="Hyperlink"/>
          </w:rPr>
          <w:t xml:space="preserve">Shapiro, Whitehead, &amp; Thomas, 2017</w:t>
        </w:r>
      </w:hyperlink>
      <w:r>
        <w:t xml:space="preserve">;</w:t>
      </w:r>
      <w:r>
        <w:t xml:space="preserve"> </w:t>
      </w:r>
      <w:hyperlink w:anchor="ref-tchuinkam_bionomics_2010">
        <w:r>
          <w:rPr>
            <w:rStyle w:val="Hyperlink"/>
          </w:rPr>
          <w:t xml:space="preserve">Tchuinkam et al., 2010</w:t>
        </w:r>
      </w:hyperlink>
      <w:r>
        <w:t xml:space="preserve">)</w:t>
      </w:r>
      <w:r>
        <w:t xml:space="preserve">.</w:t>
      </w:r>
      <w:r>
        <w:br/>
      </w:r>
    </w:p>
    <w:p>
      <w:pPr>
        <w:pStyle w:val="CaptionedFigure"/>
      </w:pPr>
      <w:r>
        <w:drawing>
          <wp:inline>
            <wp:extent cx="5334000" cy="3249007"/>
            <wp:effectExtent b="0" l="0" r="0" t="0"/>
            <wp:docPr descr="Figure 6: Cycle biologique de l’anophèle (Carnevale et al., 2009)" title="" id="48" name="Picture"/>
            <a:graphic>
              <a:graphicData uri="http://schemas.openxmlformats.org/drawingml/2006/picture">
                <pic:pic>
                  <pic:nvPicPr>
                    <pic:cNvPr descr="figure/carnevale.png" id="49" name="Picture"/>
                    <pic:cNvPicPr>
                      <a:picLocks noChangeArrowheads="1" noChangeAspect="1"/>
                    </pic:cNvPicPr>
                  </pic:nvPicPr>
                  <pic:blipFill>
                    <a:blip r:embed="rId47"/>
                    <a:stretch>
                      <a:fillRect/>
                    </a:stretch>
                  </pic:blipFill>
                  <pic:spPr bwMode="auto">
                    <a:xfrm>
                      <a:off x="0" y="0"/>
                      <a:ext cx="5334000" cy="3249007"/>
                    </a:xfrm>
                    <a:prstGeom prst="rect">
                      <a:avLst/>
                    </a:prstGeom>
                    <a:noFill/>
                    <a:ln w="9525">
                      <a:noFill/>
                      <a:headEnd/>
                      <a:tailEnd/>
                    </a:ln>
                  </pic:spPr>
                </pic:pic>
              </a:graphicData>
            </a:graphic>
          </wp:inline>
        </w:drawing>
      </w:r>
    </w:p>
    <w:p>
      <w:pPr>
        <w:pStyle w:val="ImageCaption"/>
      </w:pPr>
      <w:r>
        <w:t xml:space="preserve">Figure 6: Cycle biologique de l’anophèle</w:t>
      </w:r>
      <w:r>
        <w:t xml:space="preserve"> </w:t>
      </w:r>
      <w:r>
        <w:t xml:space="preserve">(</w:t>
      </w:r>
      <w:hyperlink w:anchor="ref-carnevale_les_2009">
        <w:r>
          <w:rPr>
            <w:rStyle w:val="Hyperlink"/>
          </w:rPr>
          <w:t xml:space="preserve">Carnevale et al., 2009</w:t>
        </w:r>
      </w:hyperlink>
      <w:r>
        <w:t xml:space="preserve">)</w:t>
      </w:r>
    </w:p>
    <w:bookmarkEnd w:id="50"/>
    <w:bookmarkStart w:id="51" w:name="comportement-dalimentation"/>
    <w:p>
      <w:pPr>
        <w:pStyle w:val="Heading4"/>
      </w:pPr>
      <w:r>
        <w:t xml:space="preserve">Comportement d’alimentation</w:t>
      </w:r>
    </w:p>
    <w:p>
      <w:pPr>
        <w:pStyle w:val="FirstParagraph"/>
      </w:pPr>
      <w:r>
        <w:t xml:space="preserve">La transmission de Plasmodium entre l’anophèle et l’homme s’effectue donc lorsque le vecteur prend un repas de sang sur l’hôte</w:t>
      </w:r>
      <w:r>
        <w:t xml:space="preserve"> </w:t>
      </w:r>
      <w:r>
        <w:rPr>
          <w:iCs/>
          <w:i/>
        </w:rPr>
        <w:t xml:space="preserve">via</w:t>
      </w:r>
      <w:r>
        <w:t xml:space="preserve"> </w:t>
      </w:r>
      <w:r>
        <w:t xml:space="preserve">la piqûre. Le comportement de piqûre (dit comportement trophique) de l’anophèle ainsi que son comportement de repos suivant la piqûre sont primordiaux dans l’étude de la transmission du paludisme. Quatre paramètres du comportement trophique et de repos des anophèles sont particulièrement déterminants :</w:t>
      </w:r>
    </w:p>
    <w:p>
      <w:pPr>
        <w:numPr>
          <w:ilvl w:val="0"/>
          <w:numId w:val="1001"/>
        </w:numPr>
        <w:pStyle w:val="Compact"/>
      </w:pPr>
      <w:r>
        <w:t xml:space="preserve">l’</w:t>
      </w:r>
      <w:r>
        <w:rPr>
          <w:iCs/>
          <w:i/>
        </w:rPr>
        <w:t xml:space="preserve">anthropophagie</w:t>
      </w:r>
      <w:r>
        <w:t xml:space="preserve"> </w:t>
      </w:r>
      <w:r>
        <w:t xml:space="preserve">: propension d’un vecteur à piquer les humains (à l’opposé de zoophagie, désignant la propension à piquer les animaux) ;</w:t>
      </w:r>
    </w:p>
    <w:p>
      <w:pPr>
        <w:numPr>
          <w:ilvl w:val="0"/>
          <w:numId w:val="1001"/>
        </w:numPr>
        <w:pStyle w:val="Compact"/>
      </w:pPr>
      <w:r>
        <w:t xml:space="preserve">l’</w:t>
      </w:r>
      <w:r>
        <w:rPr>
          <w:iCs/>
          <w:i/>
        </w:rPr>
        <w:t xml:space="preserve">endophagie</w:t>
      </w:r>
      <w:r>
        <w:t xml:space="preserve"> </w:t>
      </w:r>
      <w:r>
        <w:t xml:space="preserve">: propension d’un vecteur à piquer à l’intérieur des maisons (à l’opposé d’exophagie, désignant la propension à piquer à l’extérieur des habitations) ;</w:t>
      </w:r>
    </w:p>
    <w:p>
      <w:pPr>
        <w:numPr>
          <w:ilvl w:val="0"/>
          <w:numId w:val="1001"/>
        </w:numPr>
        <w:pStyle w:val="Compact"/>
      </w:pPr>
      <w:r>
        <w:t xml:space="preserve">l’</w:t>
      </w:r>
      <w:r>
        <w:rPr>
          <w:iCs/>
          <w:i/>
        </w:rPr>
        <w:t xml:space="preserve">endophilie</w:t>
      </w:r>
      <w:r>
        <w:t xml:space="preserve"> </w:t>
      </w:r>
      <w:r>
        <w:t xml:space="preserve">: propension d’un vecteur à se reposer, après la piqûre, à l’intérieur des maisons (à l’opposé d’exophilie, désignant la propension à se reposer à l’extérieur des habitations) ;</w:t>
      </w:r>
    </w:p>
    <w:p>
      <w:pPr>
        <w:numPr>
          <w:ilvl w:val="0"/>
          <w:numId w:val="1001"/>
        </w:numPr>
        <w:pStyle w:val="Compact"/>
      </w:pPr>
      <w:r>
        <w:t xml:space="preserve">l’</w:t>
      </w:r>
      <w:r>
        <w:rPr>
          <w:iCs/>
          <w:i/>
        </w:rPr>
        <w:t xml:space="preserve">activité précoce ou tardive</w:t>
      </w:r>
      <w:r>
        <w:t xml:space="preserve"> </w:t>
      </w:r>
      <w:r>
        <w:t xml:space="preserve">: propension d’un vecteur à piquer précocément ou tardivement dans la nuit, par rapport aux horaires habituellement observés (voir ci-dessous).</w:t>
      </w:r>
      <w:r>
        <w:br/>
      </w:r>
    </w:p>
    <w:bookmarkEnd w:id="51"/>
    <w:bookmarkStart w:id="55" w:name="elements-de-bionimie"/>
    <w:p>
      <w:pPr>
        <w:pStyle w:val="Heading4"/>
      </w:pPr>
      <w:r>
        <w:t xml:space="preserve">Elements de bionimie</w:t>
      </w:r>
    </w:p>
    <w:p>
      <w:pPr>
        <w:pStyle w:val="FirstParagraph"/>
      </w:pPr>
      <w:r>
        <w:t xml:space="preserve">Bien que le cycle biologique de tous les anophèles soit identique, les différentes espèces (ainsi que les différents individus au sein d’une même espèce) exhibent souvent des préférences écologiques ou trophiques sensiblement différentes. Ci-après, nous donnons quelques éléments de bionomie (gites larvaires et comportements préférentiels) des 4 principales espèces d’anophèles vectrices en Afrique sub-saharienne. Ces éléments sont intégralement extraits de synthèses bibliographiques sur la bionimie des vecteurs effectuées à l’échelle de l’Afrique sub-saharienne, effectuées par</w:t>
      </w:r>
      <w:r>
        <w:t xml:space="preserve"> </w:t>
      </w:r>
      <w:r>
        <w:t xml:space="preserve">Sinka et al. (</w:t>
      </w:r>
      <w:hyperlink w:anchor="ref-sinka_dominant_2010">
        <w:r>
          <w:rPr>
            <w:rStyle w:val="Hyperlink"/>
          </w:rPr>
          <w:t xml:space="preserve">2010</w:t>
        </w:r>
      </w:hyperlink>
      <w:r>
        <w:t xml:space="preserve">)</w:t>
      </w:r>
      <w:r>
        <w:t xml:space="preserve"> </w:t>
      </w:r>
      <w:r>
        <w:t xml:space="preserve">(gites larvaires préférentiels + comportements trophiques) et</w:t>
      </w:r>
      <w:r>
        <w:t xml:space="preserve"> </w:t>
      </w:r>
      <w:r>
        <w:t xml:space="preserve">Sherrard-Smith et al. (</w:t>
      </w:r>
      <w:hyperlink w:anchor="ref-sherrard-smith_mosquito_2019">
        <w:r>
          <w:rPr>
            <w:rStyle w:val="Hyperlink"/>
          </w:rPr>
          <w:t xml:space="preserve">2019</w:t>
        </w:r>
      </w:hyperlink>
      <w:r>
        <w:t xml:space="preserve">)</w:t>
      </w:r>
      <w:r>
        <w:t xml:space="preserve"> </w:t>
      </w:r>
      <w:r>
        <w:t xml:space="preserve">(comportement trophique).</w:t>
      </w:r>
      <w:r>
        <w:br/>
      </w:r>
    </w:p>
    <w:p>
      <w:pPr>
        <w:pStyle w:val="BodyText"/>
      </w:pPr>
      <w:r>
        <w:rPr>
          <w:iCs/>
          <w:i/>
        </w:rPr>
        <w:t xml:space="preserve">An. gambiae s.s.</w:t>
      </w:r>
      <w:r>
        <w:t xml:space="preserve"> </w:t>
      </w:r>
      <w:r>
        <w:t xml:space="preserve">et</w:t>
      </w:r>
      <w:r>
        <w:t xml:space="preserve"> </w:t>
      </w:r>
      <w:r>
        <w:rPr>
          <w:iCs/>
          <w:i/>
        </w:rPr>
        <w:t xml:space="preserve">An coluzzii</w:t>
      </w:r>
      <w:r>
        <w:t xml:space="preserve"> </w:t>
      </w:r>
      <w:r>
        <w:t xml:space="preserve">sont des espèces majoritairement associés aux gites larvaires respectivement temporaires et semi-permanents, globalement d’eaux douces peu profondes et ensoleillées. Ainsi, les larves d’</w:t>
      </w:r>
      <w:r>
        <w:rPr>
          <w:iCs/>
          <w:i/>
        </w:rPr>
        <w:t xml:space="preserve">An. gambiae s.s.</w:t>
      </w:r>
      <w:r>
        <w:t xml:space="preserve"> </w:t>
      </w:r>
      <w:r>
        <w:t xml:space="preserve">sont typiquement retrouvées dans les gites se remplissant avec les précipitations, telles que les flaques d’eau, les empreintes de sabot ou les ornières ; et</w:t>
      </w:r>
      <w:r>
        <w:t xml:space="preserve"> </w:t>
      </w:r>
      <w:r>
        <w:rPr>
          <w:iCs/>
          <w:i/>
        </w:rPr>
        <w:t xml:space="preserve">An. coluzzii</w:t>
      </w:r>
      <w:r>
        <w:t xml:space="preserve"> </w:t>
      </w:r>
      <w:r>
        <w:t xml:space="preserve">pond typiquement dans les rizières ou zones inondées contenant de la végétation flottante et immergée, telles que les bas-fonds et zones marécageuses. Les deux espèces ont été décrites comme hautement anthropophiles et majoritairement endophages et endophiles. L’activité de piqûre de ces espèces se concentre au milieu de la nuit avec une tendance à la piqûre plutot tardive (figure</w:t>
      </w:r>
      <w:r>
        <w:t xml:space="preserve"> </w:t>
      </w:r>
      <w:r>
        <w:t xml:space="preserve">7</w:t>
      </w:r>
      <w:r>
        <w:t xml:space="preserve">). Malgré ces grandes tendances, ces espèces présentent une certaine plasticité phénotypique dans leur comportement de piqûre et de repos.</w:t>
      </w:r>
      <w:r>
        <w:br/>
      </w:r>
    </w:p>
    <w:p>
      <w:pPr>
        <w:pStyle w:val="CaptionedFigure"/>
      </w:pPr>
      <w:r>
        <w:drawing>
          <wp:inline>
            <wp:extent cx="5334000" cy="1496451"/>
            <wp:effectExtent b="0" l="0" r="0" t="0"/>
            <wp:docPr descr="Figure 7: Courbes d’agressivité horaire nocturne pour trois espèces majeures d’anophèles en Afrique (Sherrard-Smith et al., 2019)" title="" id="53" name="Picture"/>
            <a:graphic>
              <a:graphicData uri="http://schemas.openxmlformats.org/drawingml/2006/picture">
                <pic:pic>
                  <pic:nvPicPr>
                    <pic:cNvPr descr="figure/courbes_agressivite_vecteurs.png" id="54" name="Picture"/>
                    <pic:cNvPicPr>
                      <a:picLocks noChangeArrowheads="1" noChangeAspect="1"/>
                    </pic:cNvPicPr>
                  </pic:nvPicPr>
                  <pic:blipFill>
                    <a:blip r:embed="rId52"/>
                    <a:stretch>
                      <a:fillRect/>
                    </a:stretch>
                  </pic:blipFill>
                  <pic:spPr bwMode="auto">
                    <a:xfrm>
                      <a:off x="0" y="0"/>
                      <a:ext cx="5334000" cy="1496451"/>
                    </a:xfrm>
                    <a:prstGeom prst="rect">
                      <a:avLst/>
                    </a:prstGeom>
                    <a:noFill/>
                    <a:ln w="9525">
                      <a:noFill/>
                      <a:headEnd/>
                      <a:tailEnd/>
                    </a:ln>
                  </pic:spPr>
                </pic:pic>
              </a:graphicData>
            </a:graphic>
          </wp:inline>
        </w:drawing>
      </w:r>
    </w:p>
    <w:p>
      <w:pPr>
        <w:pStyle w:val="ImageCaption"/>
      </w:pPr>
      <w:r>
        <w:t xml:space="preserve">Figure 7: Courbes d’agressivité horaire nocturne pour trois espèces majeures d’anophèles en Afrique</w:t>
      </w:r>
      <w:r>
        <w:t xml:space="preserve"> </w:t>
      </w:r>
      <w:r>
        <w:t xml:space="preserve">(</w:t>
      </w:r>
      <w:hyperlink w:anchor="ref-sherrard-smith_mosquito_2019">
        <w:r>
          <w:rPr>
            <w:rStyle w:val="Hyperlink"/>
          </w:rPr>
          <w:t xml:space="preserve">Sherrard-Smith et al., 2019</w:t>
        </w:r>
      </w:hyperlink>
      <w:r>
        <w:t xml:space="preserve">)</w:t>
      </w:r>
    </w:p>
    <w:p>
      <w:pPr>
        <w:pStyle w:val="BodyText"/>
      </w:pPr>
      <w:r>
        <w:rPr>
          <w:iCs/>
          <w:i/>
        </w:rPr>
        <w:t xml:space="preserve">An. arabiensis</w:t>
      </w:r>
      <w:r>
        <w:t xml:space="preserve"> </w:t>
      </w:r>
      <w:r>
        <w:t xml:space="preserve">est une espèce associée aux environnements de savanes et forêts clairsemées. Les gites larvaires d’</w:t>
      </w:r>
      <w:r>
        <w:rPr>
          <w:iCs/>
          <w:i/>
        </w:rPr>
        <w:t xml:space="preserve">An. arabiensis</w:t>
      </w:r>
      <w:r>
        <w:t xml:space="preserve"> </w:t>
      </w:r>
      <w:r>
        <w:t xml:space="preserve">ressemblent à ceux d’</w:t>
      </w:r>
      <w:r>
        <w:rPr>
          <w:iCs/>
          <w:i/>
        </w:rPr>
        <w:t xml:space="preserve">An. gambiae s.s.</w:t>
      </w:r>
      <w:r>
        <w:t xml:space="preserve"> </w:t>
      </w:r>
      <w:r>
        <w:t xml:space="preserve">: petits bassins d’eau douce temporaires, ensoleillés, clairs et peu profonds ; bien que l’espèce ait également été observée dans d’autres gites larvaires plus profonds ou turbides.</w:t>
      </w:r>
      <w:r>
        <w:t xml:space="preserve"> </w:t>
      </w:r>
      <w:r>
        <w:rPr>
          <w:iCs/>
          <w:i/>
        </w:rPr>
        <w:t xml:space="preserve">An. arabiensis</w:t>
      </w:r>
      <w:r>
        <w:t xml:space="preserve"> </w:t>
      </w:r>
      <w:r>
        <w:t xml:space="preserve">est considérée davantage zoophage, exophage et exophile qu’</w:t>
      </w:r>
      <w:r>
        <w:rPr>
          <w:iCs/>
          <w:i/>
        </w:rPr>
        <w:t xml:space="preserve">An. gambiae s.s.</w:t>
      </w:r>
      <w:r>
        <w:t xml:space="preserve">. Cependant, l’espèce montre un large éventail de comportements de piqûre et de repos en fonction des zones géographiques, en faisant une espèce au comportement à piori plus plastique encore qu’</w:t>
      </w:r>
      <w:r>
        <w:rPr>
          <w:iCs/>
          <w:i/>
        </w:rPr>
        <w:t xml:space="preserve">An. gambiae</w:t>
      </w:r>
      <w:r>
        <w:t xml:space="preserve">.</w:t>
      </w:r>
      <w:r>
        <w:t xml:space="preserve"> </w:t>
      </w:r>
      <w:r>
        <w:rPr>
          <w:iCs/>
          <w:i/>
        </w:rPr>
        <w:t xml:space="preserve">An. arabiensis</w:t>
      </w:r>
      <w:r>
        <w:t xml:space="preserve"> </w:t>
      </w:r>
      <w:r>
        <w:t xml:space="preserve">pique en moyenne plus tôt dans la nuit qu’</w:t>
      </w:r>
      <w:r>
        <w:rPr>
          <w:iCs/>
          <w:i/>
        </w:rPr>
        <w:t xml:space="preserve">An. gambiae</w:t>
      </w:r>
      <w:r>
        <w:t xml:space="preserve">. Les courbes d’agressivité diffèrent cependant selon le site de piqûre, les vecteurs exophages étant actifs relativement plutôt précocément et les vecteurs endophages relativement plus tardivement (figure</w:t>
      </w:r>
      <w:r>
        <w:t xml:space="preserve"> </w:t>
      </w:r>
      <w:r>
        <w:t xml:space="preserve">7</w:t>
      </w:r>
      <w:r>
        <w:t xml:space="preserve">).</w:t>
      </w:r>
      <w:r>
        <w:br/>
      </w:r>
    </w:p>
    <w:p>
      <w:pPr>
        <w:pStyle w:val="BodyText"/>
      </w:pPr>
      <w:r>
        <w:rPr>
          <w:iCs/>
          <w:i/>
        </w:rPr>
        <w:t xml:space="preserve">An. funestus</w:t>
      </w:r>
      <w:r>
        <w:t xml:space="preserve">, de son côté, est une espèce majoritairement associée aux grandes étendues d’eau douces, permanentes ou semi-permanentes, contenant une végétation émergente, comme les marécages, les grands étangs et les bords de lacs. C’est une espèce décrite comme hautement adaptable, ce qui lui permet d’occuper et de maintenir une distribution spatiale large.</w:t>
      </w:r>
      <w:r>
        <w:t xml:space="preserve"> </w:t>
      </w:r>
      <w:r>
        <w:rPr>
          <w:iCs/>
          <w:i/>
        </w:rPr>
        <w:t xml:space="preserve">An. funestus</w:t>
      </w:r>
      <w:r>
        <w:t xml:space="preserve"> </w:t>
      </w:r>
      <w:r>
        <w:t xml:space="preserve">est considérée hautement anthropophage. L’espèce est majoritairement endophage, et présente un comportement de piqûre relativement tardif (figure</w:t>
      </w:r>
      <w:r>
        <w:t xml:space="preserve"> </w:t>
      </w:r>
      <w:r>
        <w:t xml:space="preserve">7</w:t>
      </w:r>
      <w:r>
        <w:t xml:space="preserve">). Par rapport aux autres espèces de vecteurs dominantes en Afrique,</w:t>
      </w:r>
      <w:r>
        <w:t xml:space="preserve"> </w:t>
      </w:r>
      <w:r>
        <w:rPr>
          <w:iCs/>
          <w:i/>
        </w:rPr>
        <w:t xml:space="preserve">An. funestus</w:t>
      </w:r>
      <w:r>
        <w:t xml:space="preserve"> </w:t>
      </w:r>
      <w:r>
        <w:t xml:space="preserve">présente des schémas comportementaux assez stables (généralement anthropophile et endophile) dans l’ensemble de son aire de répartition.</w:t>
      </w:r>
      <w:r>
        <w:br/>
      </w:r>
    </w:p>
    <w:bookmarkEnd w:id="55"/>
    <w:bookmarkEnd w:id="56"/>
    <w:bookmarkStart w:id="64" w:name="le-système-vectoriel"/>
    <w:p>
      <w:pPr>
        <w:pStyle w:val="Heading3"/>
      </w:pPr>
      <w:r>
        <w:t xml:space="preserve">Le système vectoriel</w:t>
      </w:r>
    </w:p>
    <w:p>
      <w:pPr>
        <w:pStyle w:val="FirstParagraph"/>
      </w:pPr>
      <w:r>
        <w:t xml:space="preserve">Pour que la transmission du paludisme puisse s’effectuer, hôte, vecteur et agent infectieux doivent interagir dans un environnement favorable</w:t>
      </w:r>
      <w:r>
        <w:t xml:space="preserve"> </w:t>
      </w:r>
      <w:r>
        <w:t xml:space="preserve">(</w:t>
      </w:r>
      <w:hyperlink w:anchor="ref-reisen_landscape_2010">
        <w:r>
          <w:rPr>
            <w:rStyle w:val="Hyperlink"/>
          </w:rPr>
          <w:t xml:space="preserve">Reisen, 2010</w:t>
        </w:r>
      </w:hyperlink>
      <w:r>
        <w:t xml:space="preserve">)</w:t>
      </w:r>
      <w:r>
        <w:t xml:space="preserve">. La triade vectorielle (système composé de l’agent pathogène, du vecteur et de l’hôte), complétée de l’environnement dans lequel elle évolue et de l’ensemble des interactions entre les acteurs et l’environnement, forme le</w:t>
      </w:r>
      <w:r>
        <w:t xml:space="preserve"> </w:t>
      </w:r>
      <w:r>
        <w:rPr>
          <w:iCs/>
          <w:i/>
        </w:rPr>
        <w:t xml:space="preserve">système vectoriel</w:t>
      </w:r>
      <w:r>
        <w:t xml:space="preserve"> </w:t>
      </w:r>
      <w:r>
        <w:t xml:space="preserve">(</w:t>
      </w:r>
      <w:hyperlink w:anchor="ref-rodhain_microbe_2015">
        <w:r>
          <w:rPr>
            <w:rStyle w:val="Hyperlink"/>
          </w:rPr>
          <w:t xml:space="preserve">Rodhain, 2015</w:t>
        </w:r>
      </w:hyperlink>
      <w:r>
        <w:t xml:space="preserve">)</w:t>
      </w:r>
      <w:r>
        <w:t xml:space="preserve"> </w:t>
      </w:r>
      <w:r>
        <w:t xml:space="preserve">(figure</w:t>
      </w:r>
      <w:r>
        <w:t xml:space="preserve"> </w:t>
      </w:r>
      <w:r>
        <w:t xml:space="preserve">8</w:t>
      </w:r>
      <w:r>
        <w:t xml:space="preserve">). Comme nous allons le voir plus loin (section</w:t>
      </w:r>
      <w:r>
        <w:t xml:space="preserve"> </w:t>
      </w:r>
      <w:r>
        <w:t xml:space="preserve">??</w:t>
      </w:r>
      <w:r>
        <w:t xml:space="preserve">), l’analyse des intéractions dans le système vectoriel est au cœur de l’étude du risque de transmission du paludisme, et plus largement des maladies à transmission vectorielle.</w:t>
      </w:r>
    </w:p>
    <w:p>
      <w:pPr>
        <w:pStyle w:val="CaptionedFigure"/>
      </w:pPr>
      <w:r>
        <w:drawing>
          <wp:inline>
            <wp:extent cx="5334000" cy="3856219"/>
            <wp:effectExtent b="0" l="0" r="0" t="0"/>
            <wp:docPr descr="Figure 8: Système vectoriel : agent pathogène, vecteur, hôte, environnement (Fontenille, 2009)" title="" id="58" name="Picture"/>
            <a:graphic>
              <a:graphicData uri="http://schemas.openxmlformats.org/drawingml/2006/picture">
                <pic:pic>
                  <pic:nvPicPr>
                    <pic:cNvPr descr="figure/systeme_vectoriel.png" id="59" name="Picture"/>
                    <pic:cNvPicPr>
                      <a:picLocks noChangeArrowheads="1" noChangeAspect="1"/>
                    </pic:cNvPicPr>
                  </pic:nvPicPr>
                  <pic:blipFill>
                    <a:blip r:embed="rId57"/>
                    <a:stretch>
                      <a:fillRect/>
                    </a:stretch>
                  </pic:blipFill>
                  <pic:spPr bwMode="auto">
                    <a:xfrm>
                      <a:off x="0" y="0"/>
                      <a:ext cx="5334000" cy="3856219"/>
                    </a:xfrm>
                    <a:prstGeom prst="rect">
                      <a:avLst/>
                    </a:prstGeom>
                    <a:noFill/>
                    <a:ln w="9525">
                      <a:noFill/>
                      <a:headEnd/>
                      <a:tailEnd/>
                    </a:ln>
                  </pic:spPr>
                </pic:pic>
              </a:graphicData>
            </a:graphic>
          </wp:inline>
        </w:drawing>
      </w:r>
    </w:p>
    <w:p>
      <w:pPr>
        <w:pStyle w:val="ImageCaption"/>
      </w:pPr>
      <w:r>
        <w:t xml:space="preserve">Figure 8: Système vectoriel : agent pathogène, vecteur, hôte, environnement</w:t>
      </w:r>
      <w:r>
        <w:t xml:space="preserve"> </w:t>
      </w:r>
      <w:r>
        <w:t xml:space="preserve">(</w:t>
      </w:r>
      <w:hyperlink w:anchor="ref-fontenille_2019">
        <w:r>
          <w:rPr>
            <w:rStyle w:val="Hyperlink"/>
          </w:rPr>
          <w:t xml:space="preserve">Fontenille, 2009</w:t>
        </w:r>
      </w:hyperlink>
      <w:r>
        <w:t xml:space="preserve">)</w:t>
      </w:r>
    </w:p>
    <w:p>
      <w:pPr>
        <w:pStyle w:val="BodyText"/>
      </w:pPr>
      <w:r>
        <w:t xml:space="preserve">De part son impact sur les traits de vie de chacun des protagonistes de la triade vectorielle, l’environnement (pris au sens large du terme : météorologie, paysage, facteurs socio-culturels, etc.) conditionne considérablement les dynamiques épidémiologiques, notamment spatio-temporelles, des maladies vectorielles</w:t>
      </w:r>
      <w:r>
        <w:t xml:space="preserve"> </w:t>
      </w:r>
      <w:r>
        <w:t xml:space="preserve">(</w:t>
      </w:r>
      <w:hyperlink w:anchor="ref-reisen_landscape_2010">
        <w:r>
          <w:rPr>
            <w:rStyle w:val="Hyperlink"/>
          </w:rPr>
          <w:t xml:space="preserve">Reisen, 2010</w:t>
        </w:r>
      </w:hyperlink>
      <w:r>
        <w:t xml:space="preserve">)</w:t>
      </w:r>
      <w:r>
        <w:t xml:space="preserve">. Ainsi par exemple, des traits de vie des anophèles tels que l’emergeance, la croissance, la survie, la dispersion, ou encore l’activité (notamment trophique) peuvent être impactés par des facteurs environnementaux météorologiques (températures, précipitations, humidité, etc.), paysagers (utilisation et occupation du sol, etc.), anthropiques (interventions de lutte contre les vecteurs, etc.), etc.</w:t>
      </w:r>
      <w:r>
        <w:rPr>
          <w:rStyle w:val="FootnoteReference"/>
        </w:rPr>
        <w:footnoteReference w:id="60"/>
      </w:r>
      <w:r>
        <w:t xml:space="preserve">. Il en découle que certains indicateurs entomologiques de la transmission tels que la densité agressive des vecteurs (nombre de piqûres / homme / nuit) sont, à priori, largement dépendants des conditions environnementales</w:t>
      </w:r>
      <w:r>
        <w:t xml:space="preserve"> </w:t>
      </w:r>
      <w:r>
        <w:t xml:space="preserve">(</w:t>
      </w:r>
      <w:hyperlink w:anchor="ref-moiroux_modelling_2013">
        <w:r>
          <w:rPr>
            <w:rStyle w:val="Hyperlink"/>
          </w:rPr>
          <w:t xml:space="preserve">Moiroux et al., 2013</w:t>
        </w:r>
      </w:hyperlink>
      <w:r>
        <w:t xml:space="preserve">,</w:t>
      </w:r>
      <w:r>
        <w:t xml:space="preserve"> </w:t>
      </w:r>
      <w:hyperlink w:anchor="ref-moiroux_spatio-temporal_2014">
        <w:r>
          <w:rPr>
            <w:rStyle w:val="Hyperlink"/>
          </w:rPr>
          <w:t xml:space="preserve">2014</w:t>
        </w:r>
      </w:hyperlink>
      <w:r>
        <w:t xml:space="preserve">)</w:t>
      </w:r>
      <w:r>
        <w:t xml:space="preserve">. La figure</w:t>
      </w:r>
      <w:r>
        <w:t xml:space="preserve"> </w:t>
      </w:r>
      <w:r>
        <w:t xml:space="preserve">9</w:t>
      </w:r>
      <w:r>
        <w:t xml:space="preserve"> </w:t>
      </w:r>
      <w:r>
        <w:t xml:space="preserve">expose par exemple un ensemble de facteurs ayant été identifiés, dans la bibliographie, comme pouvant impacter les densités agressives des anophèles (</w:t>
      </w:r>
      <w:r>
        <w:t xml:space="preserve">‘</w:t>
      </w:r>
      <w:r>
        <w:t xml:space="preserve">m.a. vecteur</w:t>
      </w:r>
      <w:r>
        <w:t xml:space="preserve">’</w:t>
      </w:r>
      <w:r>
        <w:t xml:space="preserve">), ainsi que les relations à priori existantes entre ces facteurs</w:t>
      </w:r>
      <w:r>
        <w:t xml:space="preserve"> </w:t>
      </w:r>
      <w:r>
        <w:t xml:space="preserve">(</w:t>
      </w:r>
      <w:hyperlink w:anchor="ref-moiro2012">
        <w:r>
          <w:rPr>
            <w:rStyle w:val="Hyperlink"/>
          </w:rPr>
          <w:t xml:space="preserve">Moiroux, 2012</w:t>
        </w:r>
      </w:hyperlink>
      <w:r>
        <w:t xml:space="preserve">)</w:t>
      </w:r>
      <w:r>
        <w:t xml:space="preserve">.</w:t>
      </w:r>
    </w:p>
    <w:p>
      <w:pPr>
        <w:pStyle w:val="CaptionedFigure"/>
      </w:pPr>
      <w:r>
        <w:drawing>
          <wp:inline>
            <wp:extent cx="5334000" cy="3988486"/>
            <wp:effectExtent b="0" l="0" r="0" t="0"/>
            <wp:docPr descr="Figure 9: Modèle conceptuel du système biologique {densités agressives des anophèles - environnement} (Moiroux, 2012)" title="" id="62" name="Picture"/>
            <a:graphic>
              <a:graphicData uri="http://schemas.openxmlformats.org/drawingml/2006/picture">
                <pic:pic>
                  <pic:nvPicPr>
                    <pic:cNvPr descr="figure/systeme_complexe_abondance_vecteurs.png" id="63" name="Picture"/>
                    <pic:cNvPicPr>
                      <a:picLocks noChangeArrowheads="1" noChangeAspect="1"/>
                    </pic:cNvPicPr>
                  </pic:nvPicPr>
                  <pic:blipFill>
                    <a:blip r:embed="rId61"/>
                    <a:stretch>
                      <a:fillRect/>
                    </a:stretch>
                  </pic:blipFill>
                  <pic:spPr bwMode="auto">
                    <a:xfrm>
                      <a:off x="0" y="0"/>
                      <a:ext cx="5334000" cy="3988486"/>
                    </a:xfrm>
                    <a:prstGeom prst="rect">
                      <a:avLst/>
                    </a:prstGeom>
                    <a:noFill/>
                    <a:ln w="9525">
                      <a:noFill/>
                      <a:headEnd/>
                      <a:tailEnd/>
                    </a:ln>
                  </pic:spPr>
                </pic:pic>
              </a:graphicData>
            </a:graphic>
          </wp:inline>
        </w:drawing>
      </w:r>
    </w:p>
    <w:p>
      <w:pPr>
        <w:pStyle w:val="ImageCaption"/>
      </w:pPr>
      <w:r>
        <w:t xml:space="preserve">Figure 9: Modèle conceptuel du système biologique {densités agressives des anophèles - environnement}</w:t>
      </w:r>
      <w:r>
        <w:t xml:space="preserve"> </w:t>
      </w:r>
      <w:r>
        <w:t xml:space="preserve">(</w:t>
      </w:r>
      <w:hyperlink w:anchor="ref-moiro2012">
        <w:r>
          <w:rPr>
            <w:rStyle w:val="Hyperlink"/>
          </w:rPr>
          <w:t xml:space="preserve">Moiroux, 2012</w:t>
        </w:r>
      </w:hyperlink>
      <w:r>
        <w:t xml:space="preserve">)</w:t>
      </w:r>
    </w:p>
    <w:bookmarkEnd w:id="64"/>
    <w:bookmarkStart w:id="74" w:name="lutte-anti-vectorielle"/>
    <w:p>
      <w:pPr>
        <w:pStyle w:val="Heading3"/>
      </w:pPr>
      <w:r>
        <w:t xml:space="preserve">Lutte anti-vectorielle</w:t>
      </w:r>
    </w:p>
    <w:p>
      <w:pPr>
        <w:pStyle w:val="FirstParagraph"/>
      </w:pPr>
      <w:r>
        <w:t xml:space="preserve">La lutte contre le paludisme s’oriente autour de trois axes : i) prévention, ii) diagnotic des cas suspects et iii) traitement des cas confirmés. Le diagnostic et le traitement visent respectivement à identifier la présence de</w:t>
      </w:r>
      <w:r>
        <w:t xml:space="preserve"> </w:t>
      </w:r>
      <w:r>
        <w:rPr>
          <w:iCs/>
          <w:i/>
        </w:rPr>
        <w:t xml:space="preserve">Plasmodium</w:t>
      </w:r>
      <w:r>
        <w:t xml:space="preserve"> </w:t>
      </w:r>
      <w:r>
        <w:t xml:space="preserve">dans le corps humain et à traiter les cas confirmés. La prévention, en amont, vise à réduire le risque de transmission ou les conséquences de la maladie si l’infection a lieu. Trois méthodes de prévention existent : la chimiothérapie préventive, la vaccination, et la lutte anti-vectorielle</w:t>
      </w:r>
      <w:r>
        <w:t xml:space="preserve"> </w:t>
      </w:r>
      <w:r>
        <w:t xml:space="preserve">(</w:t>
      </w:r>
      <w:hyperlink w:anchor="ref-who_2021">
        <w:r>
          <w:rPr>
            <w:rStyle w:val="Hyperlink"/>
          </w:rPr>
          <w:t xml:space="preserve">WHO, 2021</w:t>
        </w:r>
      </w:hyperlink>
      <w:r>
        <w:t xml:space="preserve">)</w:t>
      </w:r>
      <w:r>
        <w:t xml:space="preserve">. Attardons-nous sur la lutte anti-vectorielle, seule des trois méthodes ciblant le moustique vecteur.</w:t>
      </w:r>
      <w:r>
        <w:br/>
      </w:r>
    </w:p>
    <w:bookmarkStart w:id="65" w:name="concept"/>
    <w:p>
      <w:pPr>
        <w:pStyle w:val="Heading4"/>
      </w:pPr>
      <w:r>
        <w:t xml:space="preserve">Concept</w:t>
      </w:r>
    </w:p>
    <w:p>
      <w:pPr>
        <w:pStyle w:val="FirstParagraph"/>
      </w:pPr>
      <w:r>
        <w:t xml:space="preserve">La lutte anti-vectorielle (LAV) consiste en un ensemble d’outils et de méthodes visant à empêcher la transmission des parasites depuis le vecteur vers l’humain. Dans leur immense majorité, ces outils ont pour objectif de limiter la probabilité de contact entre l’anophèle et l’humain (cad. la piqûre, ou encore l’intéraction homme-vecteur) de se réaliser. Les leviers d’action pour diminuer la probabilité de contact homme-vecteur sont multiples : réduire la densité des vecteurs, réduire leur longévité, ou empêcher physiquement le contact homme-vecteur. Pour cela, toutes sortes d’outils de lutte anti-vectorielle existent.</w:t>
      </w:r>
    </w:p>
    <w:bookmarkEnd w:id="65"/>
    <w:bookmarkStart w:id="73" w:name="principaux-outils-de-lav"/>
    <w:p>
      <w:pPr>
        <w:pStyle w:val="Heading4"/>
      </w:pPr>
      <w:r>
        <w:t xml:space="preserve">Principaux outils de LAV</w:t>
      </w:r>
    </w:p>
    <w:p>
      <w:pPr>
        <w:pStyle w:val="FirstParagraph"/>
      </w:pPr>
      <w:r>
        <w:t xml:space="preserve">Comme présenté précédemment, les principaux vecteurs du paludisme en Afrique ont été historiquement décrits comme majoritairement endophages, endophiles et nocturnes. C’est sur la base de ces traits comportementaux qu’ont été élaborés les deux principaux outils de lutte anti-vectorielle utilisés aujourd’hui dans la lutte contre la paludisme</w:t>
      </w:r>
      <w:r>
        <w:t xml:space="preserve"> </w:t>
      </w:r>
      <w:r>
        <w:t xml:space="preserve">(</w:t>
      </w:r>
      <w:hyperlink w:anchor="ref-who_2021">
        <w:r>
          <w:rPr>
            <w:rStyle w:val="Hyperlink"/>
          </w:rPr>
          <w:t xml:space="preserve">WHO, 2021</w:t>
        </w:r>
      </w:hyperlink>
      <w:r>
        <w:t xml:space="preserve">)</w:t>
      </w:r>
      <w:r>
        <w:t xml:space="preserve"> </w:t>
      </w:r>
      <w:r>
        <w:t xml:space="preserve">: la moustiquaire à longue durée d’action imprégnée d’insecticide (MIILDA) et les pulvérisations intra-domiciliaires d’insecticide à effet rémanent (PID).</w:t>
      </w:r>
      <w:r>
        <w:br/>
      </w:r>
    </w:p>
    <w:p>
      <w:pPr>
        <w:pStyle w:val="BodyText"/>
      </w:pPr>
      <w:r>
        <w:t xml:space="preserve">La MIILDA est un rideau de tulle imprégné d’insecticide dont on entoure en général les lits. La MIILDA offre une double barrière face aux vecteurs :</w:t>
      </w:r>
    </w:p>
    <w:p>
      <w:pPr>
        <w:numPr>
          <w:ilvl w:val="0"/>
          <w:numId w:val="1002"/>
        </w:numPr>
        <w:pStyle w:val="Compact"/>
      </w:pPr>
      <w:r>
        <w:t xml:space="preserve">barrière physique : le rideau de tulle offre une protection individuelle contre les vecteurs pour les personnes utilisant la moustiquaire, en empêchant le vecteur en recherche de repas de sang d’entrer en contact avec l’hôte</w:t>
      </w:r>
    </w:p>
    <w:p>
      <w:pPr>
        <w:numPr>
          <w:ilvl w:val="0"/>
          <w:numId w:val="1002"/>
        </w:numPr>
        <w:pStyle w:val="Compact"/>
      </w:pPr>
      <w:r>
        <w:t xml:space="preserve">barrière chimique : l’insecticide dont la MIILDA est imprégnée a un effet à la fois repulsif (à distance) et létal (pour les vecteurs entrant en contact avec la moustiquaire).</w:t>
      </w:r>
    </w:p>
    <w:p>
      <w:pPr>
        <w:pStyle w:val="FirstParagraph"/>
      </w:pPr>
      <w:r>
        <w:t xml:space="preserve">Cette barrière chimique réduit donc la longévité des vecteurs sensibles à l’insecticide, et ainsi sa probabilité d’atteindre l’âge epidémiologiquement dangereux. Par ailleurs, en réduisant la longévité des vecteurs individuellement, les MIILDA réduisent leur densité de population globale, et protègent donc théoriquement également les non-utilisateurs de moustiquaires dans la communauté</w:t>
      </w:r>
      <w:r>
        <w:t xml:space="preserve"> </w:t>
      </w:r>
      <w:r>
        <w:t xml:space="preserve">(</w:t>
      </w:r>
      <w:hyperlink w:anchor="ref-hawley_community-wide_2003">
        <w:r>
          <w:rPr>
            <w:rStyle w:val="Hyperlink"/>
          </w:rPr>
          <w:t xml:space="preserve">Hawley et al., 2003</w:t>
        </w:r>
      </w:hyperlink>
      <w:r>
        <w:t xml:space="preserve">;</w:t>
      </w:r>
      <w:r>
        <w:t xml:space="preserve"> </w:t>
      </w:r>
      <w:hyperlink w:anchor="ref-killeen_exploring_2007">
        <w:r>
          <w:rPr>
            <w:rStyle w:val="Hyperlink"/>
          </w:rPr>
          <w:t xml:space="preserve">Gerry F. Killeen &amp; Smith, 2007</w:t>
        </w:r>
      </w:hyperlink>
      <w:r>
        <w:t xml:space="preserve">)</w:t>
      </w:r>
      <w:r>
        <w:t xml:space="preserve">. Cet effet de protection, appelé</w:t>
      </w:r>
      <w:r>
        <w:t xml:space="preserve"> </w:t>
      </w:r>
      <w:r>
        <w:t xml:space="preserve">“</w:t>
      </w:r>
      <w:r>
        <w:t xml:space="preserve">communautaire</w:t>
      </w:r>
      <w:r>
        <w:t xml:space="preserve">”</w:t>
      </w:r>
      <w:r>
        <w:t xml:space="preserve">, se manifeste au delà d’un certain seuil d’utilisation des MIILDA dans une communauté donnée (les exercices de modélisation mathématique avancent un seuil situé entre 35 % et 65 % en fonction des spécificités écologiques locales</w:t>
      </w:r>
      <w:r>
        <w:t xml:space="preserve"> </w:t>
      </w:r>
      <w:r>
        <w:t xml:space="preserve">(</w:t>
      </w:r>
      <w:hyperlink w:anchor="ref-killeen_preventing_2007">
        <w:r>
          <w:rPr>
            <w:rStyle w:val="Hyperlink"/>
          </w:rPr>
          <w:t xml:space="preserve">Gerry F. Killeen et al., 2007</w:t>
        </w:r>
      </w:hyperlink>
      <w:r>
        <w:t xml:space="preserve">)</w:t>
      </w:r>
      <w:r>
        <w:t xml:space="preserve">).</w:t>
      </w:r>
      <w:r>
        <w:br/>
      </w:r>
    </w:p>
    <w:p>
      <w:pPr>
        <w:pStyle w:val="BodyText"/>
      </w:pPr>
      <w:r>
        <w:t xml:space="preserve">La MIILDA a été l’outil de LAV phare du programme mondial de lutte contre le paludisme</w:t>
      </w:r>
      <w:r>
        <w:t xml:space="preserve"> </w:t>
      </w:r>
      <w:r>
        <w:rPr>
          <w:iCs/>
          <w:i/>
        </w:rPr>
        <w:t xml:space="preserve">Roll back malaria</w:t>
      </w:r>
      <w:r>
        <w:t xml:space="preserve">, lancé par l’OMS en 2000. Ainsi, au niveau mondial, 2,3 milliards de moustiquaires imprégnées d’insecticide ont été vendues par les producteurs entre 2004 et et 2020</w:t>
      </w:r>
      <w:r>
        <w:t xml:space="preserve"> </w:t>
      </w:r>
      <w:r>
        <w:t xml:space="preserve">(</w:t>
      </w:r>
      <w:hyperlink w:anchor="ref-who_2021">
        <w:r>
          <w:rPr>
            <w:rStyle w:val="Hyperlink"/>
          </w:rPr>
          <w:t xml:space="preserve">WHO, 2021</w:t>
        </w:r>
      </w:hyperlink>
      <w:r>
        <w:t xml:space="preserve">)</w:t>
      </w:r>
      <w:r>
        <w:t xml:space="preserve"> </w:t>
      </w:r>
      <w:r>
        <w:t xml:space="preserve">; et une grande partie de ces moustiquaires a été distribuée aux populations exposées au risque de paludisme par le biais des différents Programmes Nationaux de Lutte contre le Paludisme (PNLP)</w:t>
      </w:r>
      <w:r>
        <w:rPr>
          <w:rStyle w:val="FootnoteReference"/>
        </w:rPr>
        <w:footnoteReference w:id="66"/>
      </w:r>
      <w:r>
        <w:t xml:space="preserve">. On estime en 2020 que 65% des maisons en Afrique sub-Saharienne étaient équipées d’au moins une moustiquaire et que 43 % de la population dormait sous une moustiquaire</w:t>
      </w:r>
      <w:r>
        <w:t xml:space="preserve"> </w:t>
      </w:r>
      <w:r>
        <w:t xml:space="preserve">(</w:t>
      </w:r>
      <w:hyperlink w:anchor="ref-who_2021">
        <w:r>
          <w:rPr>
            <w:rStyle w:val="Hyperlink"/>
          </w:rPr>
          <w:t xml:space="preserve">WHO, 2021</w:t>
        </w:r>
      </w:hyperlink>
      <w:r>
        <w:t xml:space="preserve">)</w:t>
      </w:r>
      <w:r>
        <w:t xml:space="preserve">. L’efficacité des MIILDA a été largement documentée et prouvée : on estime qu’elle a permis d’éviter environ 450 millions de cas de paludisme et 1 million de décès associés entre 2000 et 2015</w:t>
      </w:r>
      <w:r>
        <w:t xml:space="preserve"> </w:t>
      </w:r>
      <w:r>
        <w:t xml:space="preserve">(</w:t>
      </w:r>
      <w:hyperlink w:anchor="ref-bhatt_effect_2015">
        <w:r>
          <w:rPr>
            <w:rStyle w:val="Hyperlink"/>
          </w:rPr>
          <w:t xml:space="preserve">Bhatt et al., 2015</w:t>
        </w:r>
      </w:hyperlink>
      <w:r>
        <w:t xml:space="preserve">)</w:t>
      </w:r>
      <w:r>
        <w:t xml:space="preserve">.</w:t>
      </w:r>
      <w:r>
        <w:br/>
      </w:r>
    </w:p>
    <w:p>
      <w:pPr>
        <w:pStyle w:val="BodyText"/>
      </w:pPr>
      <w:r>
        <w:t xml:space="preserve">Les PID sont, après la MIILDA, le deuxième outil de LAV le plus communément utilisé</w:t>
      </w:r>
      <w:r>
        <w:t xml:space="preserve"> </w:t>
      </w:r>
      <w:r>
        <w:t xml:space="preserve">(</w:t>
      </w:r>
      <w:hyperlink w:anchor="ref-who_2021">
        <w:r>
          <w:rPr>
            <w:rStyle w:val="Hyperlink"/>
          </w:rPr>
          <w:t xml:space="preserve">WHO, 2021</w:t>
        </w:r>
      </w:hyperlink>
      <w:r>
        <w:t xml:space="preserve">)</w:t>
      </w:r>
      <w:r>
        <w:t xml:space="preserve">. La méthode des PID consiste à pulvériser un insecticide sur les murs intérieurs d’une habitation, afin d’y réduire la longévité (et donc la densité) des vecteurs venant se reposer sur les murs intérieurs de l’habitation après la piqûre. Elle vise donc les vecteurs endophiles. En 2020, 5,3 % de la population africaine à risque était protégée par les PID</w:t>
      </w:r>
      <w:r>
        <w:t xml:space="preserve"> </w:t>
      </w:r>
      <w:r>
        <w:t xml:space="preserve">(</w:t>
      </w:r>
      <w:hyperlink w:anchor="ref-who_2021">
        <w:r>
          <w:rPr>
            <w:rStyle w:val="Hyperlink"/>
          </w:rPr>
          <w:t xml:space="preserve">WHO, 2021</w:t>
        </w:r>
      </w:hyperlink>
      <w:r>
        <w:t xml:space="preserve">)</w:t>
      </w:r>
      <w:r>
        <w:t xml:space="preserve">.</w:t>
      </w:r>
      <w:r>
        <w:br/>
      </w:r>
    </w:p>
    <w:p>
      <w:pPr>
        <w:pStyle w:val="CaptionedFigure"/>
      </w:pPr>
      <w:r>
        <w:drawing>
          <wp:inline>
            <wp:extent cx="4881600" cy="1584000"/>
            <wp:effectExtent b="0" l="0" r="0" t="0"/>
            <wp:docPr descr="Figure 10: Installation d’une moustiquaire imprégnée (gauche) et pulvérisations intra-domiciliaire d’insecticide (droite) (crédit photo : Jean-Jacques Lemasson et Vincent Robert)" title="" id="68" name="Picture"/>
            <a:graphic>
              <a:graphicData uri="http://schemas.openxmlformats.org/drawingml/2006/picture">
                <pic:pic>
                  <pic:nvPicPr>
                    <pic:cNvPr descr="figure/milda_pid.png" id="69" name="Picture"/>
                    <pic:cNvPicPr>
                      <a:picLocks noChangeArrowheads="1" noChangeAspect="1"/>
                    </pic:cNvPicPr>
                  </pic:nvPicPr>
                  <pic:blipFill>
                    <a:blip r:embed="rId67"/>
                    <a:stretch>
                      <a:fillRect/>
                    </a:stretch>
                  </pic:blipFill>
                  <pic:spPr bwMode="auto">
                    <a:xfrm>
                      <a:off x="0" y="0"/>
                      <a:ext cx="4881600" cy="1584000"/>
                    </a:xfrm>
                    <a:prstGeom prst="rect">
                      <a:avLst/>
                    </a:prstGeom>
                    <a:noFill/>
                    <a:ln w="9525">
                      <a:noFill/>
                      <a:headEnd/>
                      <a:tailEnd/>
                    </a:ln>
                  </pic:spPr>
                </pic:pic>
              </a:graphicData>
            </a:graphic>
          </wp:inline>
        </w:drawing>
      </w:r>
    </w:p>
    <w:p>
      <w:pPr>
        <w:pStyle w:val="ImageCaption"/>
      </w:pPr>
      <w:r>
        <w:t xml:space="preserve">Figure 10: Installation d’une moustiquaire imprégnée (gauche) et pulvérisations intra-domiciliaire d’insecticide (droite) (crédit photo : Jean-Jacques Lemasson et Vincent Robert)</w:t>
      </w:r>
    </w:p>
    <w:p>
      <w:pPr>
        <w:pStyle w:val="BodyText"/>
      </w:pPr>
      <w:r>
        <w:t xml:space="preserve">Une myriade d’outils et méthodes de lutte anti-vectorielle existent en sus de la MIILDA et des PID</w:t>
      </w:r>
      <w:r>
        <w:t xml:space="preserve"> </w:t>
      </w:r>
      <w:r>
        <w:t xml:space="preserve">(</w:t>
      </w:r>
      <w:hyperlink w:anchor="ref-wilson_importance_2020">
        <w:r>
          <w:rPr>
            <w:rStyle w:val="Hyperlink"/>
          </w:rPr>
          <w:t xml:space="preserve">Wilson et al., 2020</w:t>
        </w:r>
      </w:hyperlink>
      <w:r>
        <w:t xml:space="preserve">)</w:t>
      </w:r>
      <w:r>
        <w:t xml:space="preserve"> </w:t>
      </w:r>
      <w:r>
        <w:t xml:space="preserve">(la figure</w:t>
      </w:r>
      <w:r>
        <w:t xml:space="preserve"> </w:t>
      </w:r>
      <w:r>
        <w:t xml:space="preserve">11</w:t>
      </w:r>
      <w:r>
        <w:t xml:space="preserve"> </w:t>
      </w:r>
      <w:r>
        <w:t xml:space="preserve">en présente certains), mais restent à ce jour utilisés en proportion bien moindre : les répulsifs individuels, la lutte anti-larvaire, les pulvérisation spatiales extérieures, la lutte génétique, les grillages de fenêtres, etc.</w:t>
      </w:r>
    </w:p>
    <w:p>
      <w:pPr>
        <w:pStyle w:val="CaptionedFigure"/>
      </w:pPr>
      <w:r>
        <w:drawing>
          <wp:inline>
            <wp:extent cx="5334000" cy="3672162"/>
            <wp:effectExtent b="0" l="0" r="0" t="0"/>
            <wp:docPr descr="Figure 11: Exemples d’outils de LAV utilisés dans les maladies vectorielles, triés par catégories (basés ou non sur les insecticides) et stade de développement du vecteur ciblé (Wilson et al., 2020)" title="" id="71" name="Picture"/>
            <a:graphic>
              <a:graphicData uri="http://schemas.openxmlformats.org/drawingml/2006/picture">
                <pic:pic>
                  <pic:nvPicPr>
                    <pic:cNvPr descr="figure/vc_tools.png" id="72" name="Picture"/>
                    <pic:cNvPicPr>
                      <a:picLocks noChangeArrowheads="1" noChangeAspect="1"/>
                    </pic:cNvPicPr>
                  </pic:nvPicPr>
                  <pic:blipFill>
                    <a:blip r:embed="rId70"/>
                    <a:stretch>
                      <a:fillRect/>
                    </a:stretch>
                  </pic:blipFill>
                  <pic:spPr bwMode="auto">
                    <a:xfrm>
                      <a:off x="0" y="0"/>
                      <a:ext cx="5334000" cy="3672162"/>
                    </a:xfrm>
                    <a:prstGeom prst="rect">
                      <a:avLst/>
                    </a:prstGeom>
                    <a:noFill/>
                    <a:ln w="9525">
                      <a:noFill/>
                      <a:headEnd/>
                      <a:tailEnd/>
                    </a:ln>
                  </pic:spPr>
                </pic:pic>
              </a:graphicData>
            </a:graphic>
          </wp:inline>
        </w:drawing>
      </w:r>
    </w:p>
    <w:p>
      <w:pPr>
        <w:pStyle w:val="ImageCaption"/>
      </w:pPr>
      <w:r>
        <w:t xml:space="preserve">Figure 11: Exemples d’outils de LAV utilisés dans les maladies vectorielles, triés par catégories (basés ou non sur les insecticides) et stade de développement du vecteur ciblé</w:t>
      </w:r>
      <w:r>
        <w:t xml:space="preserve"> </w:t>
      </w:r>
      <w:r>
        <w:t xml:space="preserve">(</w:t>
      </w:r>
      <w:hyperlink w:anchor="ref-wilson_importance_2020">
        <w:r>
          <w:rPr>
            <w:rStyle w:val="Hyperlink"/>
          </w:rPr>
          <w:t xml:space="preserve">Wilson et al., 2020</w:t>
        </w:r>
      </w:hyperlink>
      <w:r>
        <w:t xml:space="preserve">)</w:t>
      </w:r>
    </w:p>
    <w:bookmarkEnd w:id="73"/>
    <w:bookmarkEnd w:id="74"/>
    <w:bookmarkEnd w:id="75"/>
    <w:bookmarkStart w:id="96" w:name="X3018c054ae3aef4c46532bc8af3e1fd0de7f306"/>
    <w:p>
      <w:pPr>
        <w:pStyle w:val="Heading2"/>
      </w:pPr>
      <w:r>
        <w:t xml:space="preserve">Transmission résiduelle du paludisme : problématique, définition, enjeux</w:t>
      </w:r>
    </w:p>
    <w:bookmarkStart w:id="79" w:name="limites-actuelle-de-la-lav"/>
    <w:p>
      <w:pPr>
        <w:pStyle w:val="Heading3"/>
      </w:pPr>
      <w:r>
        <w:t xml:space="preserve">Limites actuelle de la LAV</w:t>
      </w:r>
    </w:p>
    <w:p>
      <w:pPr>
        <w:pStyle w:val="FirstParagraph"/>
      </w:pPr>
      <w:r>
        <w:t xml:space="preserve">Ces outils, MIILDA en tête, ont donc été et restent les principaux artisans de la diminution de l’incidence du paludisme à large échelle. Cependant, les niveaux toujours soutenus de transmission et la récente stagnation - voire augmentation dans certaines régions - du nombre de cas de paludisme dans des régions pourtant couvertes par ces outils, questionne : quelles en sont les limites ? Pourquoi cette stagnation ? Plusieurs hypothèses sont généralement avancées :</w:t>
      </w:r>
    </w:p>
    <w:p>
      <w:pPr>
        <w:numPr>
          <w:ilvl w:val="0"/>
          <w:numId w:val="1003"/>
        </w:numPr>
      </w:pPr>
      <w:r>
        <w:rPr>
          <w:iCs/>
          <w:i/>
        </w:rPr>
        <w:t xml:space="preserve">Fraction de la population de vecteurs ciblés.</w:t>
      </w:r>
      <w:r>
        <w:t xml:space="preserve"> </w:t>
      </w:r>
      <w:r>
        <w:t xml:space="preserve">Ces outils présentent certaines limites intrinsèques. Comme expliqué précédemment, les MIILDA et les PID ciblent, par définition, les vecteurs endophages, endophiles, et anthropophages. Le corollaire à cette observation est que tout vecteur exophage, exophile, ou zoophage leur échappe. Aussi, dans les zones où les vecteurs montrent de tels comportements, ces outils sont à priori peu efficaces</w:t>
      </w:r>
      <w:r>
        <w:t xml:space="preserve"> </w:t>
      </w:r>
      <w:r>
        <w:t xml:space="preserve">(</w:t>
      </w:r>
      <w:hyperlink w:anchor="ref-killeen_characterizing_2014">
        <w:r>
          <w:rPr>
            <w:rStyle w:val="Hyperlink"/>
          </w:rPr>
          <w:t xml:space="preserve">Gerry F. Killeen, 2014</w:t>
        </w:r>
      </w:hyperlink>
      <w:r>
        <w:t xml:space="preserve">)</w:t>
      </w:r>
      <w:r>
        <w:t xml:space="preserve">.</w:t>
      </w:r>
    </w:p>
    <w:p>
      <w:pPr>
        <w:numPr>
          <w:ilvl w:val="0"/>
          <w:numId w:val="1003"/>
        </w:numPr>
      </w:pPr>
      <w:r>
        <w:rPr>
          <w:iCs/>
          <w:i/>
        </w:rPr>
        <w:t xml:space="preserve">Taux de possession et d’utilisation.</w:t>
      </w:r>
      <w:r>
        <w:t xml:space="preserve"> </w:t>
      </w:r>
      <w:r>
        <w:t xml:space="preserve">Ces outils ne sont efficaces que s’ils sont disponibles et utilisés. Bien qu’assez triviale, cette assertion peut expliquer en partie les niveaux toujours élevés de transmission. Comme énoncé précedemment, la couverture en outils de LAV et leur utilisation est loin d’être universelle. Par ailleurs, les taux de possession et utilisation de moustiquaires sont très variables selon les sous-régions, pays, et à des échelles spatiales plus fines encore</w:t>
      </w:r>
      <w:r>
        <w:t xml:space="preserve"> </w:t>
      </w:r>
      <w:r>
        <w:t xml:space="preserve">(</w:t>
      </w:r>
      <w:hyperlink w:anchor="ref-bertozzi-villa_maps_2021">
        <w:r>
          <w:rPr>
            <w:rStyle w:val="Hyperlink"/>
          </w:rPr>
          <w:t xml:space="preserve">Bertozzi-Villa et al., 2021</w:t>
        </w:r>
      </w:hyperlink>
      <w:r>
        <w:t xml:space="preserve">)</w:t>
      </w:r>
      <w:r>
        <w:t xml:space="preserve"> </w:t>
      </w:r>
      <w:r>
        <w:t xml:space="preserve">(figure</w:t>
      </w:r>
      <w:r>
        <w:t xml:space="preserve"> </w:t>
      </w:r>
      <w:r>
        <w:t xml:space="preserve">12</w:t>
      </w:r>
      <w:r>
        <w:t xml:space="preserve">). Notons, sur la figure</w:t>
      </w:r>
      <w:r>
        <w:t xml:space="preserve"> </w:t>
      </w:r>
      <w:r>
        <w:t xml:space="preserve">12</w:t>
      </w:r>
      <w:r>
        <w:t xml:space="preserve">, l’évolution de la possession et utilisation des moustiquaires à l’échelle de l’Afrique : les taux moyens ont fortement augmenté entre 2000 et 2017 mais déclinent depuis cette année-ci.</w:t>
      </w:r>
    </w:p>
    <w:p>
      <w:pPr>
        <w:pStyle w:val="CaptionedFigure"/>
      </w:pPr>
      <w:r>
        <w:drawing>
          <wp:inline>
            <wp:extent cx="5334000" cy="5559714"/>
            <wp:effectExtent b="0" l="0" r="0" t="0"/>
            <wp:docPr descr="Figure 12: Evolution du taux de possession et d’utilisation de moustiquaires par pays en Afrique (Bertozzi-Villa et al., 2021)" title="" id="77" name="Picture"/>
            <a:graphic>
              <a:graphicData uri="http://schemas.openxmlformats.org/drawingml/2006/picture">
                <pic:pic>
                  <pic:nvPicPr>
                    <pic:cNvPr descr="figure/itn_access_use2.png" id="78" name="Picture"/>
                    <pic:cNvPicPr>
                      <a:picLocks noChangeArrowheads="1" noChangeAspect="1"/>
                    </pic:cNvPicPr>
                  </pic:nvPicPr>
                  <pic:blipFill>
                    <a:blip r:embed="rId76"/>
                    <a:stretch>
                      <a:fillRect/>
                    </a:stretch>
                  </pic:blipFill>
                  <pic:spPr bwMode="auto">
                    <a:xfrm>
                      <a:off x="0" y="0"/>
                      <a:ext cx="5334000" cy="5559714"/>
                    </a:xfrm>
                    <a:prstGeom prst="rect">
                      <a:avLst/>
                    </a:prstGeom>
                    <a:noFill/>
                    <a:ln w="9525">
                      <a:noFill/>
                      <a:headEnd/>
                      <a:tailEnd/>
                    </a:ln>
                  </pic:spPr>
                </pic:pic>
              </a:graphicData>
            </a:graphic>
          </wp:inline>
        </w:drawing>
      </w:r>
    </w:p>
    <w:p>
      <w:pPr>
        <w:pStyle w:val="ImageCaption"/>
      </w:pPr>
      <w:r>
        <w:t xml:space="preserve">Figure 12: Evolution du taux de possession et d’utilisation de moustiquaires par pays en Afrique</w:t>
      </w:r>
      <w:r>
        <w:t xml:space="preserve"> </w:t>
      </w:r>
      <w:r>
        <w:t xml:space="preserve">(</w:t>
      </w:r>
      <w:hyperlink w:anchor="ref-bertozzi-villa_maps_2021">
        <w:r>
          <w:rPr>
            <w:rStyle w:val="Hyperlink"/>
          </w:rPr>
          <w:t xml:space="preserve">Bertozzi-Villa et al., 2021</w:t>
        </w:r>
      </w:hyperlink>
      <w:r>
        <w:t xml:space="preserve">)</w:t>
      </w:r>
    </w:p>
    <w:p>
      <w:pPr>
        <w:numPr>
          <w:ilvl w:val="0"/>
          <w:numId w:val="1004"/>
        </w:numPr>
      </w:pPr>
      <w:r>
        <w:rPr>
          <w:iCs/>
          <w:i/>
        </w:rPr>
        <w:t xml:space="preserve">Altération de la composition spécifique des vecteurs.</w:t>
      </w:r>
      <w:r>
        <w:t xml:space="preserve"> </w:t>
      </w:r>
      <w:r>
        <w:t xml:space="preserve">Ces outils sont susceptibles d’altérer la composition spécifique des vecteurs, en réduisant, à terme, la part des vecteurs endophiles, endophages, anthropophages, nocturnes et en favorisant les espèces exophages, exophiles, zoophages, et piquant précocément ou tardivement</w:t>
      </w:r>
      <w:r>
        <w:t xml:space="preserve"> </w:t>
      </w:r>
      <w:r>
        <w:t xml:space="preserve">(</w:t>
      </w:r>
      <w:hyperlink w:anchor="ref-gatton_importance_2013">
        <w:r>
          <w:rPr>
            <w:rStyle w:val="Hyperlink"/>
          </w:rPr>
          <w:t xml:space="preserve">Gatton et al., 2013</w:t>
        </w:r>
      </w:hyperlink>
      <w:r>
        <w:t xml:space="preserve">;</w:t>
      </w:r>
      <w:r>
        <w:t xml:space="preserve"> </w:t>
      </w:r>
      <w:hyperlink w:anchor="ref-russell_increased_2011">
        <w:r>
          <w:rPr>
            <w:rStyle w:val="Hyperlink"/>
          </w:rPr>
          <w:t xml:space="preserve">Russell et al., 2011</w:t>
        </w:r>
      </w:hyperlink>
      <w:r>
        <w:t xml:space="preserve">)</w:t>
      </w:r>
      <w:r>
        <w:t xml:space="preserve">. Ces vecteurs, non ciblés par les MIILDA ou les PID, seront alors susceptibles de transmettre le paludisme.</w:t>
      </w:r>
    </w:p>
    <w:p>
      <w:pPr>
        <w:numPr>
          <w:ilvl w:val="0"/>
          <w:numId w:val="1004"/>
        </w:numPr>
      </w:pPr>
      <w:r>
        <w:rPr>
          <w:iCs/>
          <w:i/>
        </w:rPr>
        <w:t xml:space="preserve">Développement de mécanismes de résistance aux insecticides.</w:t>
      </w:r>
      <w:r>
        <w:t xml:space="preserve"> </w:t>
      </w:r>
      <w:r>
        <w:t xml:space="preserve">Enfin, on observe que les vecteurs au départ ciblés par ces outils développent des mécanismes de résistance aux insecticides leur permettant d’éviter ou de contourner leurs effets léthaux</w:t>
      </w:r>
      <w:r>
        <w:t xml:space="preserve"> </w:t>
      </w:r>
      <w:r>
        <w:t xml:space="preserve">(</w:t>
      </w:r>
      <w:hyperlink w:anchor="ref-corbel_distribution_2013">
        <w:r>
          <w:rPr>
            <w:rStyle w:val="Hyperlink"/>
          </w:rPr>
          <w:t xml:space="preserve">Corbel &amp; N’Guessan, 2013</w:t>
        </w:r>
      </w:hyperlink>
      <w:r>
        <w:t xml:space="preserve">;</w:t>
      </w:r>
      <w:r>
        <w:t xml:space="preserve"> </w:t>
      </w:r>
      <w:hyperlink w:anchor="ref-manguin_residual_2013">
        <w:r>
          <w:rPr>
            <w:rStyle w:val="Hyperlink"/>
          </w:rPr>
          <w:t xml:space="preserve">Durnez &amp; Coosemans, 2013</w:t>
        </w:r>
      </w:hyperlink>
      <w:r>
        <w:t xml:space="preserve">;</w:t>
      </w:r>
      <w:r>
        <w:t xml:space="preserve"> </w:t>
      </w:r>
      <w:hyperlink w:anchor="ref-gatton_importance_2013">
        <w:r>
          <w:rPr>
            <w:rStyle w:val="Hyperlink"/>
          </w:rPr>
          <w:t xml:space="preserve">Gatton et al., 2013</w:t>
        </w:r>
      </w:hyperlink>
      <w:r>
        <w:t xml:space="preserve">;</w:t>
      </w:r>
      <w:r>
        <w:t xml:space="preserve"> </w:t>
      </w:r>
      <w:hyperlink w:anchor="ref-killeen_characterizing_2014">
        <w:r>
          <w:rPr>
            <w:rStyle w:val="Hyperlink"/>
          </w:rPr>
          <w:t xml:space="preserve">Gerry F. Killeen, 2014</w:t>
        </w:r>
      </w:hyperlink>
      <w:r>
        <w:t xml:space="preserve">;</w:t>
      </w:r>
      <w:r>
        <w:t xml:space="preserve"> </w:t>
      </w:r>
      <w:hyperlink w:anchor="ref-riveron_insecticide_2018">
        <w:r>
          <w:rPr>
            <w:rStyle w:val="Hyperlink"/>
          </w:rPr>
          <w:t xml:space="preserve">Riveron et al., 2018</w:t>
        </w:r>
      </w:hyperlink>
      <w:r>
        <w:t xml:space="preserve">)</w:t>
      </w:r>
      <w:r>
        <w:t xml:space="preserve">.</w:t>
      </w:r>
    </w:p>
    <w:p>
      <w:pPr>
        <w:pStyle w:val="FirstParagraph"/>
      </w:pPr>
      <w:r>
        <w:t xml:space="preserve">Parmi les différentes limites et problématiques sus-mentionnées, le développement de résistances aux insecticides dans les populations vectorielles est particulièrement important et probablement, impactant. En effet, les résistances menacent directement l’efficacité des principaux outils de lutte anti-vectorielle. La section suivante précise les différentes formes de résistance décrites dans la littérature, présente brièvement les mécanismes impliqués dans le développement des résistances, et décrit succinctement leur distribution spatio-temporelle en Afrique.</w:t>
      </w:r>
    </w:p>
    <w:bookmarkEnd w:id="79"/>
    <w:bookmarkStart w:id="91" w:name="X54989cabfa89297705c3e3b261cfc63bbe96469"/>
    <w:p>
      <w:pPr>
        <w:pStyle w:val="Heading3"/>
      </w:pPr>
      <w:r>
        <w:t xml:space="preserve">Résistances des anophèles aux insecticides</w:t>
      </w:r>
    </w:p>
    <w:p>
      <w:pPr>
        <w:pStyle w:val="FirstParagraph"/>
      </w:pPr>
      <w:r>
        <w:t xml:space="preserve">On reconnaît deux formes principales de résistances des vecteurs aux insecticides : les résistances physiologiques et les résistances comportementales</w:t>
      </w:r>
      <w:r>
        <w:t xml:space="preserve"> </w:t>
      </w:r>
      <w:r>
        <w:t xml:space="preserve">(</w:t>
      </w:r>
      <w:hyperlink w:anchor="ref-lockwood_evolution_1984">
        <w:r>
          <w:rPr>
            <w:rStyle w:val="Hyperlink"/>
          </w:rPr>
          <w:t xml:space="preserve">Lockwood, Sparks, &amp; Story, 1984</w:t>
        </w:r>
      </w:hyperlink>
      <w:r>
        <w:t xml:space="preserve">;</w:t>
      </w:r>
      <w:r>
        <w:t xml:space="preserve"> </w:t>
      </w:r>
      <w:hyperlink w:anchor="ref-sokhna_changes_2013">
        <w:r>
          <w:rPr>
            <w:rStyle w:val="Hyperlink"/>
          </w:rPr>
          <w:t xml:space="preserve">Sokhna, Ndiath, &amp; Rogier, 2013</w:t>
        </w:r>
      </w:hyperlink>
      <w:r>
        <w:t xml:space="preserve">)</w:t>
      </w:r>
      <w:r>
        <w:t xml:space="preserve">.</w:t>
      </w:r>
      <w:r>
        <w:br/>
      </w:r>
    </w:p>
    <w:bookmarkStart w:id="86" w:name="résistances-physiologiques"/>
    <w:p>
      <w:pPr>
        <w:pStyle w:val="Heading4"/>
      </w:pPr>
      <w:r>
        <w:t xml:space="preserve">Résistances physiologiques</w:t>
      </w:r>
    </w:p>
    <w:p>
      <w:pPr>
        <w:pStyle w:val="FirstParagraph"/>
      </w:pPr>
      <w:r>
        <w:t xml:space="preserve">La résistance physiologique fait référence à un ensemble de mécanismes qui permettent au moustique de survivre à un contact avec l’insecticide</w:t>
      </w:r>
      <w:r>
        <w:t xml:space="preserve"> </w:t>
      </w:r>
      <w:r>
        <w:t xml:space="preserve">(</w:t>
      </w:r>
      <w:hyperlink w:anchor="ref-davidson_insecticide_1957">
        <w:r>
          <w:rPr>
            <w:rStyle w:val="Hyperlink"/>
          </w:rPr>
          <w:t xml:space="preserve">Davidson, 1957</w:t>
        </w:r>
      </w:hyperlink>
      <w:r>
        <w:t xml:space="preserve">)</w:t>
      </w:r>
      <w:r>
        <w:t xml:space="preserve">. Les bases moléculaires et génétiques de la résistance physiologique sont bien connues : sous la pression des insecticides, les mutations qui permettent aux vecteurs de survivre sont naturellement sélectionnées et se propagent ensuite dans les générations successives</w:t>
      </w:r>
      <w:r>
        <w:t xml:space="preserve"> </w:t>
      </w:r>
      <w:r>
        <w:t xml:space="preserve">(</w:t>
      </w:r>
      <w:hyperlink w:anchor="ref-labbe_evolution_2017">
        <w:r>
          <w:rPr>
            <w:rStyle w:val="Hyperlink"/>
          </w:rPr>
          <w:t xml:space="preserve">Labbé et al., 2017</w:t>
        </w:r>
      </w:hyperlink>
      <w:r>
        <w:t xml:space="preserve">;</w:t>
      </w:r>
      <w:r>
        <w:t xml:space="preserve"> </w:t>
      </w:r>
      <w:hyperlink w:anchor="ref-martinez-torres_molecular_1998">
        <w:r>
          <w:rPr>
            <w:rStyle w:val="Hyperlink"/>
          </w:rPr>
          <w:t xml:space="preserve">Martinez-Torres et al., 1998</w:t>
        </w:r>
      </w:hyperlink>
      <w:r>
        <w:t xml:space="preserve">)</w:t>
      </w:r>
      <w:r>
        <w:t xml:space="preserve">.</w:t>
      </w:r>
      <w:r>
        <w:br/>
      </w:r>
    </w:p>
    <w:p>
      <w:pPr>
        <w:pStyle w:val="BodyText"/>
      </w:pPr>
      <w:r>
        <w:t xml:space="preserve">Plusieurs mécanismes de résistance physiologique aux insecticides ont été décrits, notamment biochimiques et morphologiques. Les modifications de la cible physiologique de l’insecticide - forme de résistance physiologique qui va être étudiée dans la suite de cette thèse - provoquent une réduction de la sensibilité aux insecticides en raison de mutations ponctuelles sur les gènes codant pour les protéines cibles</w:t>
      </w:r>
      <w:r>
        <w:t xml:space="preserve"> </w:t>
      </w:r>
      <w:r>
        <w:t xml:space="preserve">(</w:t>
      </w:r>
      <w:hyperlink w:anchor="ref-davies_ddt_2007">
        <w:r>
          <w:rPr>
            <w:rStyle w:val="Hyperlink"/>
          </w:rPr>
          <w:t xml:space="preserve">Davies, Field, Usherwood, &amp; Williamson, 2007</w:t>
        </w:r>
      </w:hyperlink>
      <w:r>
        <w:t xml:space="preserve">;</w:t>
      </w:r>
      <w:r>
        <w:t xml:space="preserve"> </w:t>
      </w:r>
      <w:hyperlink w:anchor="ref-oreilly_modelling_2006">
        <w:r>
          <w:rPr>
            <w:rStyle w:val="Hyperlink"/>
          </w:rPr>
          <w:t xml:space="preserve">O’Reilly et al., 2006</w:t>
        </w:r>
      </w:hyperlink>
      <w:r>
        <w:t xml:space="preserve">)</w:t>
      </w:r>
      <w:r>
        <w:t xml:space="preserve">. La mutation la plus commune décrite chez les membres du complexe</w:t>
      </w:r>
      <w:r>
        <w:t xml:space="preserve"> </w:t>
      </w:r>
      <w:r>
        <w:rPr>
          <w:iCs/>
          <w:i/>
        </w:rPr>
        <w:t xml:space="preserve">Gambiae</w:t>
      </w:r>
      <w:r>
        <w:t xml:space="preserve"> </w:t>
      </w:r>
      <w:r>
        <w:t xml:space="preserve">est la mutation dite</w:t>
      </w:r>
      <w:r>
        <w:t xml:space="preserve"> </w:t>
      </w:r>
      <w:r>
        <w:t xml:space="preserve">“</w:t>
      </w:r>
      <w:r>
        <w:t xml:space="preserve">kdr</w:t>
      </w:r>
      <w:r>
        <w:t xml:space="preserve">”</w:t>
      </w:r>
      <w:r>
        <w:t xml:space="preserve"> </w:t>
      </w:r>
      <w:r>
        <w:t xml:space="preserve">(</w:t>
      </w:r>
      <w:r>
        <w:t xml:space="preserve">“</w:t>
      </w:r>
      <w:r>
        <w:t xml:space="preserve">knock-down resistance</w:t>
      </w:r>
      <w:r>
        <w:t xml:space="preserve">”</w:t>
      </w:r>
      <w:r>
        <w:t xml:space="preserve">). Cette mutation induit une résistance aux pyréthrinoïdes et aux organochlorés, insecticides les plus largement utilisés dans la lutte anti-vectorielle. On distingue 2 formes principales pour cette mutation : la mutation L1014F (ou</w:t>
      </w:r>
      <w:r>
        <w:t xml:space="preserve"> </w:t>
      </w:r>
      <w:r>
        <w:t xml:space="preserve">“</w:t>
      </w:r>
      <w:r>
        <w:t xml:space="preserve">kdr-ouest</w:t>
      </w:r>
      <w:r>
        <w:t xml:space="preserve">”</w:t>
      </w:r>
      <w:r>
        <w:t xml:space="preserve">) - historiquement détectée et largement répandue en Afrique de l’Ouest - et la mutation L1014S (ou</w:t>
      </w:r>
      <w:r>
        <w:t xml:space="preserve"> </w:t>
      </w:r>
      <w:r>
        <w:t xml:space="preserve">“</w:t>
      </w:r>
      <w:r>
        <w:t xml:space="preserve">kdr-est</w:t>
      </w:r>
      <w:r>
        <w:t xml:space="preserve">”</w:t>
      </w:r>
      <w:r>
        <w:t xml:space="preserve">) - historiquement détectée et largement répandue en Afrique de l’Est</w:t>
      </w:r>
      <w:r>
        <w:t xml:space="preserve"> </w:t>
      </w:r>
      <w:r>
        <w:t xml:space="preserve">(</w:t>
      </w:r>
      <w:hyperlink w:anchor="ref-martinez-torres_molecular_1998">
        <w:r>
          <w:rPr>
            <w:rStyle w:val="Hyperlink"/>
          </w:rPr>
          <w:t xml:space="preserve">Martinez-Torres et al., 1998</w:t>
        </w:r>
      </w:hyperlink>
      <w:r>
        <w:t xml:space="preserve">;</w:t>
      </w:r>
      <w:r>
        <w:t xml:space="preserve"> </w:t>
      </w:r>
      <w:hyperlink w:anchor="ref-ranson_identification_2000">
        <w:r>
          <w:rPr>
            <w:rStyle w:val="Hyperlink"/>
          </w:rPr>
          <w:t xml:space="preserve">Ranson et al., 2000</w:t>
        </w:r>
      </w:hyperlink>
      <w:r>
        <w:t xml:space="preserve">)</w:t>
      </w:r>
      <w:r>
        <w:t xml:space="preserve">. Une autre mutation dite</w:t>
      </w:r>
      <w:r>
        <w:t xml:space="preserve"> </w:t>
      </w:r>
      <w:r>
        <w:t xml:space="preserve">“</w:t>
      </w:r>
      <w:r>
        <w:t xml:space="preserve">ace-1</w:t>
      </w:r>
      <w:r>
        <w:t xml:space="preserve">”</w:t>
      </w:r>
      <w:r>
        <w:t xml:space="preserve"> </w:t>
      </w:r>
      <w:r>
        <w:t xml:space="preserve">induit chez les anophèles une résistance aux carbamates, et dans une moindre mesure, aux organochlorés</w:t>
      </w:r>
      <w:r>
        <w:t xml:space="preserve"> </w:t>
      </w:r>
      <w:r>
        <w:t xml:space="preserve">(</w:t>
      </w:r>
      <w:hyperlink w:anchor="ref-weill_unique_2004">
        <w:r>
          <w:rPr>
            <w:rStyle w:val="Hyperlink"/>
          </w:rPr>
          <w:t xml:space="preserve">Weill et al., 2004</w:t>
        </w:r>
      </w:hyperlink>
      <w:r>
        <w:t xml:space="preserve">)</w:t>
      </w:r>
      <w:r>
        <w:t xml:space="preserve">.</w:t>
      </w:r>
      <w:r>
        <w:br/>
      </w:r>
    </w:p>
    <w:p>
      <w:pPr>
        <w:pStyle w:val="BodyText"/>
      </w:pPr>
      <w:r>
        <w:t xml:space="preserve">Bien que les premières traces de résistances physiologiques chez les anophèles ont été observées bien avant les distributions massives des MIILDA</w:t>
      </w:r>
      <w:r>
        <w:t xml:space="preserve"> </w:t>
      </w:r>
      <w:r>
        <w:t xml:space="preserve">(</w:t>
      </w:r>
      <w:hyperlink w:anchor="ref-corbel_distribution_2013">
        <w:r>
          <w:rPr>
            <w:rStyle w:val="Hyperlink"/>
          </w:rPr>
          <w:t xml:space="preserve">Corbel &amp; N’Guessan, 2013</w:t>
        </w:r>
      </w:hyperlink>
      <w:r>
        <w:t xml:space="preserve">)</w:t>
      </w:r>
      <w:r>
        <w:t xml:space="preserve">, on observe une corrélation forte entre le déploiement à large échelle des outils de lutte anti-vectorielle et la généralisation des résistances physiologiques chez vecteurs du paludisme depuis les années 2000 (figure</w:t>
      </w:r>
      <w:r>
        <w:t xml:space="preserve"> </w:t>
      </w:r>
      <w:r>
        <w:t xml:space="preserve">13</w:t>
      </w:r>
      <w:r>
        <w:t xml:space="preserve">). La problématique des résistances physiologiques aux insecticides concerne maintenant la quasi-totalité des populations d’anophèles dans la sous-région ouest-africaine, et en particulier dans les zones d’étude de cette thèse - au Burkina Faso et en Côte d’Ivoire</w:t>
      </w:r>
      <w:r>
        <w:t xml:space="preserve"> </w:t>
      </w:r>
      <w:r>
        <w:t xml:space="preserve">(</w:t>
      </w:r>
      <w:hyperlink w:anchor="ref-moyes_evaluating_2020">
        <w:r>
          <w:rPr>
            <w:rStyle w:val="Hyperlink"/>
          </w:rPr>
          <w:t xml:space="preserve">Moyes et al., 2020</w:t>
        </w:r>
      </w:hyperlink>
      <w:r>
        <w:t xml:space="preserve">)</w:t>
      </w:r>
      <w:r>
        <w:t xml:space="preserve"> </w:t>
      </w:r>
      <w:r>
        <w:t xml:space="preserve">(figure</w:t>
      </w:r>
      <w:r>
        <w:t xml:space="preserve"> </w:t>
      </w:r>
      <w:r>
        <w:t xml:space="preserve">14</w:t>
      </w:r>
      <w:r>
        <w:t xml:space="preserve">).</w:t>
      </w:r>
      <w:r>
        <w:br/>
      </w:r>
    </w:p>
    <w:p>
      <w:pPr>
        <w:pStyle w:val="CaptionedFigure"/>
      </w:pPr>
      <w:r>
        <w:drawing>
          <wp:inline>
            <wp:extent cx="5334000" cy="2725939"/>
            <wp:effectExtent b="0" l="0" r="0" t="0"/>
            <wp:docPr descr="Figure 13: Distribution spatiale des études confirmant une résistance aux insecticides chez les anophèles entre 1990 et 2005 (à gauche) et entre 2005 et 2020 (à droite) (source : IR Mapper www.irmapper.com)" title="" id="81" name="Picture"/>
            <a:graphic>
              <a:graphicData uri="http://schemas.openxmlformats.org/drawingml/2006/picture">
                <pic:pic>
                  <pic:nvPicPr>
                    <pic:cNvPr descr="figure/dev_res_phy.png" id="82" name="Picture"/>
                    <pic:cNvPicPr>
                      <a:picLocks noChangeArrowheads="1" noChangeAspect="1"/>
                    </pic:cNvPicPr>
                  </pic:nvPicPr>
                  <pic:blipFill>
                    <a:blip r:embed="rId80"/>
                    <a:stretch>
                      <a:fillRect/>
                    </a:stretch>
                  </pic:blipFill>
                  <pic:spPr bwMode="auto">
                    <a:xfrm>
                      <a:off x="0" y="0"/>
                      <a:ext cx="5334000" cy="2725939"/>
                    </a:xfrm>
                    <a:prstGeom prst="rect">
                      <a:avLst/>
                    </a:prstGeom>
                    <a:noFill/>
                    <a:ln w="9525">
                      <a:noFill/>
                      <a:headEnd/>
                      <a:tailEnd/>
                    </a:ln>
                  </pic:spPr>
                </pic:pic>
              </a:graphicData>
            </a:graphic>
          </wp:inline>
        </w:drawing>
      </w:r>
    </w:p>
    <w:p>
      <w:pPr>
        <w:pStyle w:val="ImageCaption"/>
      </w:pPr>
      <w:r>
        <w:t xml:space="preserve">Figure 13: Distribution spatiale des études confirmant une résistance aux insecticides chez les anophèles entre 1990 et 2005 (à gauche) et entre 2005 et 2020 (à droite) (source : IR Mapper www.irmapper.com)</w:t>
      </w:r>
    </w:p>
    <w:p>
      <w:pPr>
        <w:pStyle w:val="CaptionedFigure"/>
      </w:pPr>
      <w:r>
        <w:drawing>
          <wp:inline>
            <wp:extent cx="5334000" cy="3911600"/>
            <wp:effectExtent b="0" l="0" r="0" t="0"/>
            <wp:docPr descr="Figure 14: Distribution spatiale de la résistance à la deltaméthrine dans les populations d’An. gambiae s.l. (Moyes et al., 2020)" title="" id="84" name="Picture"/>
            <a:graphic>
              <a:graphicData uri="http://schemas.openxmlformats.org/drawingml/2006/picture">
                <pic:pic>
                  <pic:nvPicPr>
                    <pic:cNvPr descr="figure/dev_res_phy_map.png" id="85" name="Picture"/>
                    <pic:cNvPicPr>
                      <a:picLocks noChangeArrowheads="1" noChangeAspect="1"/>
                    </pic:cNvPicPr>
                  </pic:nvPicPr>
                  <pic:blipFill>
                    <a:blip r:embed="rId83"/>
                    <a:stretch>
                      <a:fillRect/>
                    </a:stretch>
                  </pic:blipFill>
                  <pic:spPr bwMode="auto">
                    <a:xfrm>
                      <a:off x="0" y="0"/>
                      <a:ext cx="5334000" cy="3911600"/>
                    </a:xfrm>
                    <a:prstGeom prst="rect">
                      <a:avLst/>
                    </a:prstGeom>
                    <a:noFill/>
                    <a:ln w="9525">
                      <a:noFill/>
                      <a:headEnd/>
                      <a:tailEnd/>
                    </a:ln>
                  </pic:spPr>
                </pic:pic>
              </a:graphicData>
            </a:graphic>
          </wp:inline>
        </w:drawing>
      </w:r>
    </w:p>
    <w:p>
      <w:pPr>
        <w:pStyle w:val="ImageCaption"/>
      </w:pPr>
      <w:r>
        <w:t xml:space="preserve">Figure 14: Distribution spatiale de la résistance à la deltaméthrine dans les populations d’An. gambiae s.l.</w:t>
      </w:r>
      <w:r>
        <w:t xml:space="preserve"> </w:t>
      </w:r>
      <w:r>
        <w:t xml:space="preserve">(</w:t>
      </w:r>
      <w:hyperlink w:anchor="ref-moyes_evaluating_2020">
        <w:r>
          <w:rPr>
            <w:rStyle w:val="Hyperlink"/>
          </w:rPr>
          <w:t xml:space="preserve">Moyes et al., 2020</w:t>
        </w:r>
      </w:hyperlink>
      <w:r>
        <w:t xml:space="preserve">)</w:t>
      </w:r>
    </w:p>
    <w:bookmarkEnd w:id="86"/>
    <w:bookmarkStart w:id="90" w:name="résistances-comportementales"/>
    <w:p>
      <w:pPr>
        <w:pStyle w:val="Heading4"/>
      </w:pPr>
      <w:r>
        <w:t xml:space="preserve">Résistances comportementales</w:t>
      </w:r>
    </w:p>
    <w:p>
      <w:pPr>
        <w:pStyle w:val="FirstParagraph"/>
      </w:pPr>
      <w:r>
        <w:t xml:space="preserve">La résistance comportementale consiste en des modifications dans le comportement du moustique lui permettant de prévenir ou réduire les conséquences négatives des insecticides</w:t>
      </w:r>
      <w:r>
        <w:t xml:space="preserve"> </w:t>
      </w:r>
      <w:r>
        <w:t xml:space="preserve">(</w:t>
      </w:r>
      <w:hyperlink w:anchor="ref-carrasco_behavioural_2019">
        <w:r>
          <w:rPr>
            <w:rStyle w:val="Hyperlink"/>
          </w:rPr>
          <w:t xml:space="preserve">Carrasco et al., 2019</w:t>
        </w:r>
      </w:hyperlink>
      <w:r>
        <w:t xml:space="preserve">)</w:t>
      </w:r>
      <w:r>
        <w:t xml:space="preserve">. La résistance peut être qualitative (modifications qui empêchent ou limitent le contact avec l’insecticide) ou quantitative (modifications qui arrêtent, limitent ou réduisent l’action de l’insecticide une fois le contact établi)</w:t>
      </w:r>
      <w:r>
        <w:t xml:space="preserve"> </w:t>
      </w:r>
      <w:r>
        <w:t xml:space="preserve">(</w:t>
      </w:r>
      <w:hyperlink w:anchor="ref-carrasco_behavioural_2019">
        <w:r>
          <w:rPr>
            <w:rStyle w:val="Hyperlink"/>
          </w:rPr>
          <w:t xml:space="preserve">Carrasco et al., 2019</w:t>
        </w:r>
      </w:hyperlink>
      <w:r>
        <w:t xml:space="preserve">)</w:t>
      </w:r>
      <w:r>
        <w:t xml:space="preserve">. A ce jour, les mécanismes de résistance comportementale décrits dans la littérature sont principalement qualitatifs et consistent en des évitements spatiaux, temporels ou trophiques de l’insecticide. En particulier, dans les populations d’anophèles, les mécanismes de résistance qualitative comportementale suivants ont été décrits après la mise à l’échelle des outils de LAV à base d’insecticides</w:t>
      </w:r>
      <w:r>
        <w:t xml:space="preserve"> </w:t>
      </w:r>
      <w:r>
        <w:t xml:space="preserve">(</w:t>
      </w:r>
      <w:hyperlink w:anchor="ref-manguin_residual_2013">
        <w:r>
          <w:rPr>
            <w:rStyle w:val="Hyperlink"/>
          </w:rPr>
          <w:t xml:space="preserve">Durnez &amp; Coosemans, 2013</w:t>
        </w:r>
      </w:hyperlink>
      <w:r>
        <w:t xml:space="preserve">)</w:t>
      </w:r>
      <w:r>
        <w:t xml:space="preserve"> </w:t>
      </w:r>
      <w:r>
        <w:t xml:space="preserve">: i) augmentation des comportements exophages ou exophiles (évitement spatial), ii) augmentation des comportements de piqûre précoce ou tardive (évitement temporel), iii) augmentation des comportements zoophages (évitement trophique).</w:t>
      </w:r>
      <w:r>
        <w:br/>
      </w:r>
    </w:p>
    <w:p>
      <w:pPr>
        <w:pStyle w:val="BodyText"/>
      </w:pPr>
      <w:r>
        <w:t xml:space="preserve">Contrairement à la résistance physiologique, les mécanismes biologiques qui sous-tendent la résistance comportementale sont encore mal connus</w:t>
      </w:r>
      <w:r>
        <w:t xml:space="preserve"> </w:t>
      </w:r>
      <w:r>
        <w:t xml:space="preserve">(</w:t>
      </w:r>
      <w:hyperlink w:anchor="ref-main_genetic_2016">
        <w:r>
          <w:rPr>
            <w:rStyle w:val="Hyperlink"/>
          </w:rPr>
          <w:t xml:space="preserve">Main et al., 2016</w:t>
        </w:r>
      </w:hyperlink>
      <w:r>
        <w:t xml:space="preserve"> </w:t>
      </w:r>
      <w:r>
        <w:t xml:space="preserve">;</w:t>
      </w:r>
      <w:r>
        <w:t xml:space="preserve"> </w:t>
      </w:r>
      <w:hyperlink w:anchor="ref-carrasco_behavioural_2019">
        <w:r>
          <w:rPr>
            <w:rStyle w:val="Hyperlink"/>
          </w:rPr>
          <w:t xml:space="preserve">Carrasco et al., 2019</w:t>
        </w:r>
      </w:hyperlink>
      <w:r>
        <w:t xml:space="preserve"> </w:t>
      </w:r>
      <w:r>
        <w:t xml:space="preserve">;</w:t>
      </w:r>
      <w:r>
        <w:t xml:space="preserve"> </w:t>
      </w:r>
      <w:hyperlink w:anchor="ref-manguin_residual_2013">
        <w:r>
          <w:rPr>
            <w:rStyle w:val="Hyperlink"/>
          </w:rPr>
          <w:t xml:space="preserve">Durnez &amp; Coosemans, 2013</w:t>
        </w:r>
      </w:hyperlink>
      <w:r>
        <w:t xml:space="preserve">,  ;</w:t>
      </w:r>
      <w:r>
        <w:t xml:space="preserve"> </w:t>
      </w:r>
      <w:hyperlink w:anchor="ref-killeen_characterizing_2014">
        <w:r>
          <w:rPr>
            <w:rStyle w:val="Hyperlink"/>
          </w:rPr>
          <w:t xml:space="preserve">Gerry F. Killeen, 2014</w:t>
        </w:r>
      </w:hyperlink>
      <w:r>
        <w:t xml:space="preserve">)</w:t>
      </w:r>
      <w:r>
        <w:t xml:space="preserve">. En particulier, il reste à comprendre si les changements de comportement reflètent des adaptations évolutives en réponse à la pression induite par les insecticides utilisés dans la LAV, comme pour les résistances physiologiques (</w:t>
      </w:r>
      <w:r>
        <w:rPr>
          <w:iCs/>
          <w:i/>
        </w:rPr>
        <w:t xml:space="preserve">résistance constitutive</w:t>
      </w:r>
      <w:r>
        <w:t xml:space="preserve">) ou sont des manifestations d’une plasticité phénotypique préexistante qui se déclenche face à l’insecticide ou en réponse à une variation environnementale qui réduit la disponibilité des hôtes humains (</w:t>
      </w:r>
      <w:r>
        <w:rPr>
          <w:iCs/>
          <w:i/>
        </w:rPr>
        <w:t xml:space="preserve">résistance inductible</w:t>
      </w:r>
      <w:r>
        <w:t xml:space="preserve">) ; ces mécanismes n’étant pas mutuellement exclusifs</w:t>
      </w:r>
      <w:r>
        <w:t xml:space="preserve"> </w:t>
      </w:r>
      <w:r>
        <w:t xml:space="preserve">(</w:t>
      </w:r>
      <w:hyperlink w:anchor="ref-manguin_residual_2013">
        <w:r>
          <w:rPr>
            <w:rStyle w:val="Hyperlink"/>
          </w:rPr>
          <w:t xml:space="preserve">Durnez &amp; Coosemans, 2013</w:t>
        </w:r>
      </w:hyperlink>
      <w:r>
        <w:t xml:space="preserve">)</w:t>
      </w:r>
      <w:r>
        <w:t xml:space="preserve">. Ces considérations peuvent avoir des implications importantes en matière d’efficacité sur le long terme des outils de LAV actuels. En effet, la résistance inductible pourrait impliquer que les vecteurs retrouvent rapidement leurs comportements de base lorsque les interventions de LAV sont modifiées, tandis que la résistance constitutive (héréditaire), qui pourrait impliquer que les vecteurs sensibles soient peu à peu remplacés par des vecteurs résistants, pourrait éroder progressivement et durablement l’efficacité des outils de LAV actuels. Certaines études récentes tendent à montrer qu’il pourrait y avoir une composante héréditaire à ces comportements résistants chez</w:t>
      </w:r>
      <w:r>
        <w:t xml:space="preserve"> </w:t>
      </w:r>
      <w:r>
        <w:rPr>
          <w:iCs/>
          <w:i/>
        </w:rPr>
        <w:t xml:space="preserve">An. arabiensis</w:t>
      </w:r>
      <w:r>
        <w:t xml:space="preserve"> </w:t>
      </w:r>
      <w:r>
        <w:t xml:space="preserve">(</w:t>
      </w:r>
      <w:hyperlink w:anchor="ref-govella_heritability_2021">
        <w:r>
          <w:rPr>
            <w:rStyle w:val="Hyperlink"/>
          </w:rPr>
          <w:t xml:space="preserve">Govella, Johnson, Killeen, &amp; Ferguson, 2021</w:t>
        </w:r>
      </w:hyperlink>
      <w:r>
        <w:t xml:space="preserve">)</w:t>
      </w:r>
      <w:r>
        <w:t xml:space="preserve">.</w:t>
      </w:r>
      <w:r>
        <w:br/>
      </w:r>
    </w:p>
    <w:p>
      <w:pPr>
        <w:pStyle w:val="BodyText"/>
      </w:pPr>
      <w:r>
        <w:t xml:space="preserve">Les résistances comportementales sont à ce jour, dans l’ensemble, moins étudiées que les résistances physiologiques (mécanismes biologiques sous-jacents moins compris, distributions spatio-temporelles moins rapportées, etc.)</w:t>
      </w:r>
      <w:r>
        <w:t xml:space="preserve"> </w:t>
      </w:r>
      <w:r>
        <w:t xml:space="preserve">(</w:t>
      </w:r>
      <w:hyperlink w:anchor="ref-carrasco_behavioural_2019">
        <w:r>
          <w:rPr>
            <w:rStyle w:val="Hyperlink"/>
          </w:rPr>
          <w:t xml:space="preserve">Carrasco et al., 2019</w:t>
        </w:r>
      </w:hyperlink>
      <w:r>
        <w:t xml:space="preserve">)</w:t>
      </w:r>
      <w:r>
        <w:t xml:space="preserve">. A notre connaissance, une seule revue systématique des données existantes à l’échelle de l’Afrique a été effectuée</w:t>
      </w:r>
      <w:r>
        <w:t xml:space="preserve"> </w:t>
      </w:r>
      <w:r>
        <w:t xml:space="preserve">(</w:t>
      </w:r>
      <w:hyperlink w:anchor="ref-sherrard-smith_mosquito_2019">
        <w:r>
          <w:rPr>
            <w:rStyle w:val="Hyperlink"/>
          </w:rPr>
          <w:t xml:space="preserve">Sherrard-Smith et al., 2019</w:t>
        </w:r>
      </w:hyperlink>
      <w:r>
        <w:t xml:space="preserve">)</w:t>
      </w:r>
      <w:r>
        <w:t xml:space="preserve">. Cette étude rapporte, entre autres, les variations spatiales et temporelles des taux d’endophagie (et donc exophagie) des vecteurs : elle montre notamment qu’à l’échelle de l’Afrique, la proportion des piqûres de moustiques effectuées à l’extérieur des habitations a augmenté de presque 10 % entre 2003 et 2018 (figure</w:t>
      </w:r>
      <w:r>
        <w:t xml:space="preserve"> </w:t>
      </w:r>
      <w:r>
        <w:t xml:space="preserve">15</w:t>
      </w:r>
      <w:r>
        <w:t xml:space="preserve">), et qu’une telle augmentation de l’exophagie pourrait résulter en une accroissement significatif de l’incidence du paludisme à l’échelle du continent (+ 10.6 millions de cas annuels).</w:t>
      </w:r>
      <w:r>
        <w:br/>
      </w:r>
    </w:p>
    <w:p>
      <w:pPr>
        <w:pStyle w:val="CaptionedFigure"/>
      </w:pPr>
      <w:r>
        <w:drawing>
          <wp:inline>
            <wp:extent cx="5334000" cy="2141945"/>
            <wp:effectExtent b="0" l="0" r="0" t="0"/>
            <wp:docPr descr="Figure 15: Distribution temporelle (en haut) et spatiale (en bas) du taux d’endophagie des anophèles en Afrique (Sherrard-Smith et al., 2019)" title="" id="88" name="Picture"/>
            <a:graphic>
              <a:graphicData uri="http://schemas.openxmlformats.org/drawingml/2006/picture">
                <pic:pic>
                  <pic:nvPicPr>
                    <pic:cNvPr descr="figure/dev_res_comp.png" id="89" name="Picture"/>
                    <pic:cNvPicPr>
                      <a:picLocks noChangeArrowheads="1" noChangeAspect="1"/>
                    </pic:cNvPicPr>
                  </pic:nvPicPr>
                  <pic:blipFill>
                    <a:blip r:embed="rId87"/>
                    <a:stretch>
                      <a:fillRect/>
                    </a:stretch>
                  </pic:blipFill>
                  <pic:spPr bwMode="auto">
                    <a:xfrm>
                      <a:off x="0" y="0"/>
                      <a:ext cx="5334000" cy="2141945"/>
                    </a:xfrm>
                    <a:prstGeom prst="rect">
                      <a:avLst/>
                    </a:prstGeom>
                    <a:noFill/>
                    <a:ln w="9525">
                      <a:noFill/>
                      <a:headEnd/>
                      <a:tailEnd/>
                    </a:ln>
                  </pic:spPr>
                </pic:pic>
              </a:graphicData>
            </a:graphic>
          </wp:inline>
        </w:drawing>
      </w:r>
    </w:p>
    <w:p>
      <w:pPr>
        <w:pStyle w:val="ImageCaption"/>
      </w:pPr>
      <w:r>
        <w:t xml:space="preserve">Figure 15: Distribution temporelle (en haut) et spatiale (en bas) du taux d’endophagie des anophèles en Afrique</w:t>
      </w:r>
      <w:r>
        <w:t xml:space="preserve"> </w:t>
      </w:r>
      <w:r>
        <w:t xml:space="preserve">(</w:t>
      </w:r>
      <w:hyperlink w:anchor="ref-sherrard-smith_mosquito_2019">
        <w:r>
          <w:rPr>
            <w:rStyle w:val="Hyperlink"/>
          </w:rPr>
          <w:t xml:space="preserve">Sherrard-Smith et al., 2019</w:t>
        </w:r>
      </w:hyperlink>
      <w:r>
        <w:t xml:space="preserve">)</w:t>
      </w:r>
    </w:p>
    <w:bookmarkEnd w:id="90"/>
    <w:bookmarkEnd w:id="91"/>
    <w:bookmarkStart w:id="95" w:name="transmission-résiduelle-du-paludisme"/>
    <w:p>
      <w:pPr>
        <w:pStyle w:val="Heading3"/>
      </w:pPr>
      <w:r>
        <w:t xml:space="preserve">Transmission résiduelle du paludisme</w:t>
      </w:r>
    </w:p>
    <w:p>
      <w:pPr>
        <w:pStyle w:val="FirstParagraph"/>
      </w:pPr>
      <w:r>
        <w:t xml:space="preserve">Les différentes limites des principaux outils de LAV aujourd’hui utilisés expliquent donc que la transmission continue de s’effectuer malgré la mise en oeuvre de ces interventions. La transmission qui persiste après avoir atteint une couverture universelle complète en MIILDA et/ou PID est appelée</w:t>
      </w:r>
      <w:r>
        <w:t xml:space="preserve"> </w:t>
      </w:r>
      <w:r>
        <w:rPr>
          <w:iCs/>
          <w:i/>
        </w:rPr>
        <w:t xml:space="preserve">transmission résiduelle</w:t>
      </w:r>
      <w:r>
        <w:t xml:space="preserve"> </w:t>
      </w:r>
      <w:r>
        <w:t xml:space="preserve">du paludisme</w:t>
      </w:r>
      <w:r>
        <w:t xml:space="preserve"> </w:t>
      </w:r>
      <w:r>
        <w:t xml:space="preserve">(</w:t>
      </w:r>
      <w:hyperlink w:anchor="ref-killeen_characterizing_2014">
        <w:r>
          <w:rPr>
            <w:rStyle w:val="Hyperlink"/>
          </w:rPr>
          <w:t xml:space="preserve">Gerry F. Killeen, 2014</w:t>
        </w:r>
      </w:hyperlink>
      <w:r>
        <w:t xml:space="preserve">)</w:t>
      </w:r>
      <w:r>
        <w:t xml:space="preserve">.</w:t>
      </w:r>
      <w:r>
        <w:br/>
      </w:r>
    </w:p>
    <w:p>
      <w:pPr>
        <w:pStyle w:val="BodyText"/>
      </w:pPr>
      <w:r>
        <w:t xml:space="preserve">On peut envisager deux scenarii d’évolution de l’intensité de transmission résiduelle suite à l’introduction de MIILDA ou PID</w:t>
      </w:r>
      <w:r>
        <w:t xml:space="preserve"> </w:t>
      </w:r>
      <w:r>
        <w:t xml:space="preserve">(</w:t>
      </w:r>
      <w:hyperlink w:anchor="ref-killeen_characterizing_2014">
        <w:r>
          <w:rPr>
            <w:rStyle w:val="Hyperlink"/>
          </w:rPr>
          <w:t xml:space="preserve">Gerry F. Killeen, 2014</w:t>
        </w:r>
      </w:hyperlink>
      <w:r>
        <w:t xml:space="preserve">)</w:t>
      </w:r>
      <w:r>
        <w:t xml:space="preserve">. Dans les deux scénarii, dans un premier temps l’intensité de la transmission diminue, jusqu’à atteindre un palier bas, sans disparaitre totalement à cause des limites inhérentes aux outils. Dans un second temps :</w:t>
      </w:r>
    </w:p>
    <w:p>
      <w:pPr>
        <w:numPr>
          <w:ilvl w:val="0"/>
          <w:numId w:val="1005"/>
        </w:numPr>
        <w:pStyle w:val="Compact"/>
      </w:pPr>
      <w:r>
        <w:t xml:space="preserve">soit</w:t>
      </w:r>
      <w:r>
        <w:t xml:space="preserve"> </w:t>
      </w:r>
      <w:r>
        <w:rPr>
          <w:bCs/>
          <w:b/>
        </w:rPr>
        <w:t xml:space="preserve">l’intensité de la transmission reste stable</w:t>
      </w:r>
      <w:r>
        <w:t xml:space="preserve"> </w:t>
      </w:r>
      <w:r>
        <w:t xml:space="preserve">(scenario 1), car :</w:t>
      </w:r>
    </w:p>
    <w:p>
      <w:pPr>
        <w:numPr>
          <w:ilvl w:val="1"/>
          <w:numId w:val="1006"/>
        </w:numPr>
        <w:pStyle w:val="Compact"/>
      </w:pPr>
      <w:r>
        <w:t xml:space="preserve">les outils de LAV restent largement utilisés ;</w:t>
      </w:r>
    </w:p>
    <w:p>
      <w:pPr>
        <w:numPr>
          <w:ilvl w:val="1"/>
          <w:numId w:val="1006"/>
        </w:numPr>
        <w:pStyle w:val="Compact"/>
      </w:pPr>
      <w:r>
        <w:t xml:space="preserve">les résistances comportementales des vecteurs sont induites (la fraction de vecteurs échappant aux outils de LAV reste donc stable)</w:t>
      </w:r>
    </w:p>
    <w:p>
      <w:pPr>
        <w:numPr>
          <w:ilvl w:val="0"/>
          <w:numId w:val="1005"/>
        </w:numPr>
        <w:pStyle w:val="Compact"/>
      </w:pPr>
      <w:r>
        <w:t xml:space="preserve">soit</w:t>
      </w:r>
      <w:r>
        <w:t xml:space="preserve"> </w:t>
      </w:r>
      <w:r>
        <w:rPr>
          <w:bCs/>
          <w:b/>
        </w:rPr>
        <w:t xml:space="preserve">l’intensité de la transmission réaugmente</w:t>
      </w:r>
      <w:r>
        <w:t xml:space="preserve"> </w:t>
      </w:r>
      <w:r>
        <w:t xml:space="preserve">(rebond de la transmission) (scénario 2), à cause de :</w:t>
      </w:r>
    </w:p>
    <w:p>
      <w:pPr>
        <w:numPr>
          <w:ilvl w:val="1"/>
          <w:numId w:val="1007"/>
        </w:numPr>
        <w:pStyle w:val="Compact"/>
      </w:pPr>
      <w:r>
        <w:t xml:space="preserve">une diminution progressive des taux d’utilisation des outils de LAV (par exemple, à cause d’une réduction des financements publics, ou de réticenses de la population à utiliser les interventions) ;</w:t>
      </w:r>
    </w:p>
    <w:p>
      <w:pPr>
        <w:numPr>
          <w:ilvl w:val="1"/>
          <w:numId w:val="1007"/>
        </w:numPr>
        <w:pStyle w:val="Compact"/>
      </w:pPr>
      <w:r>
        <w:t xml:space="preserve">et/ou une augmentation progressive du taux de vecteurs physiologiquement résistant ;</w:t>
      </w:r>
    </w:p>
    <w:p>
      <w:pPr>
        <w:numPr>
          <w:ilvl w:val="1"/>
          <w:numId w:val="1007"/>
        </w:numPr>
        <w:pStyle w:val="Compact"/>
      </w:pPr>
      <w:r>
        <w:t xml:space="preserve">et/ou une augmentation progressive du taux de vecteurs comportementalement résistant (dans ce scénario, les résistances comportementales sont donc constitutives) ;</w:t>
      </w:r>
    </w:p>
    <w:p>
      <w:pPr>
        <w:numPr>
          <w:ilvl w:val="1"/>
          <w:numId w:val="1007"/>
        </w:numPr>
        <w:pStyle w:val="Compact"/>
      </w:pPr>
      <w:r>
        <w:t xml:space="preserve">et/ou une modification progressive de la composition spécique des vecteurs, vers des espèces davantage endophages ou diurnes.</w:t>
      </w:r>
    </w:p>
    <w:p>
      <w:pPr>
        <w:pStyle w:val="CaptionedFigure"/>
      </w:pPr>
      <w:r>
        <w:drawing>
          <wp:inline>
            <wp:extent cx="5334000" cy="1931948"/>
            <wp:effectExtent b="0" l="0" r="0" t="0"/>
            <wp:docPr descr="Figure 16: Concept de transmission résiduelle du paludisme (adapté de (Gerry F. Killeen, 2014))" title="" id="93" name="Picture"/>
            <a:graphic>
              <a:graphicData uri="http://schemas.openxmlformats.org/drawingml/2006/picture">
                <pic:pic>
                  <pic:nvPicPr>
                    <pic:cNvPr descr="figure/tr_schema.png" id="94" name="Picture"/>
                    <pic:cNvPicPr>
                      <a:picLocks noChangeArrowheads="1" noChangeAspect="1"/>
                    </pic:cNvPicPr>
                  </pic:nvPicPr>
                  <pic:blipFill>
                    <a:blip r:embed="rId92"/>
                    <a:stretch>
                      <a:fillRect/>
                    </a:stretch>
                  </pic:blipFill>
                  <pic:spPr bwMode="auto">
                    <a:xfrm>
                      <a:off x="0" y="0"/>
                      <a:ext cx="5334000" cy="1931948"/>
                    </a:xfrm>
                    <a:prstGeom prst="rect">
                      <a:avLst/>
                    </a:prstGeom>
                    <a:noFill/>
                    <a:ln w="9525">
                      <a:noFill/>
                      <a:headEnd/>
                      <a:tailEnd/>
                    </a:ln>
                  </pic:spPr>
                </pic:pic>
              </a:graphicData>
            </a:graphic>
          </wp:inline>
        </w:drawing>
      </w:r>
    </w:p>
    <w:p>
      <w:pPr>
        <w:pStyle w:val="ImageCaption"/>
      </w:pPr>
      <w:r>
        <w:t xml:space="preserve">Figure 16: Concept de transmission résiduelle du paludisme (adapté de</w:t>
      </w:r>
      <w:r>
        <w:t xml:space="preserve"> </w:t>
      </w:r>
      <w:r>
        <w:t xml:space="preserve">(</w:t>
      </w:r>
      <w:hyperlink w:anchor="ref-killeen_characterizing_2014">
        <w:r>
          <w:rPr>
            <w:rStyle w:val="Hyperlink"/>
          </w:rPr>
          <w:t xml:space="preserve">Gerry F. Killeen, 2014</w:t>
        </w:r>
      </w:hyperlink>
      <w:r>
        <w:t xml:space="preserve">)</w:t>
      </w:r>
      <w:r>
        <w:t xml:space="preserve">)</w:t>
      </w:r>
    </w:p>
    <w:p>
      <w:pPr>
        <w:pStyle w:val="BodyText"/>
      </w:pPr>
      <w:r>
        <w:t xml:space="preserve">Ces différentes problématiques concernant la transmission résiduelle du paludisme nous amènent ainsi à la présentation des enjeux et objectifs de la présente thèse.</w:t>
      </w:r>
    </w:p>
    <w:bookmarkEnd w:id="95"/>
    <w:bookmarkEnd w:id="96"/>
    <w:bookmarkStart w:id="105" w:name="enjeux-objectifs-these"/>
    <w:p>
      <w:pPr>
        <w:pStyle w:val="Heading2"/>
      </w:pPr>
      <w:r>
        <w:t xml:space="preserve">Enjeux, objectifs, organisation de la thèse</w:t>
      </w:r>
    </w:p>
    <w:bookmarkStart w:id="103" w:name="X4d0a4af1aa1e75fb8afcd96a70379dac58e9ed0"/>
    <w:p>
      <w:pPr>
        <w:pStyle w:val="Heading3"/>
      </w:pPr>
      <w:r>
        <w:t xml:space="preserve">Mmesurer et caractériser, comprendre, prédire le risque le risque de transmission résiduelle du paludisme</w:t>
      </w:r>
    </w:p>
    <w:p>
      <w:pPr>
        <w:pStyle w:val="FirstParagraph"/>
      </w:pPr>
      <w:r>
        <w:t xml:space="preserve">Pour éviter les rebonds de transmission résiduelle, limiter leur impact, et plus largement redynamiser le progrès de la lutte contre le paludisme, plusieurs pistes sont proposées par la communauté des acteurs de la lutte contre le paludisme. En particulier, il est préconisé de concevoir de nouvelles interventions et méthodes de lutte, d’adapter les interventions au contexte local, et de cibler et prioriser le déploiement des interventions</w:t>
      </w:r>
      <w:r>
        <w:t xml:space="preserve"> </w:t>
      </w:r>
      <w:r>
        <w:t xml:space="preserve">(</w:t>
      </w:r>
      <w:hyperlink w:anchor="ref-who_2020_world_nodate">
        <w:r>
          <w:rPr>
            <w:rStyle w:val="Hyperlink"/>
          </w:rPr>
          <w:t xml:space="preserve">WHO, 2020</w:t>
        </w:r>
      </w:hyperlink>
      <w:r>
        <w:t xml:space="preserve">,</w:t>
      </w:r>
      <w:r>
        <w:t xml:space="preserve"> </w:t>
      </w:r>
      <w:hyperlink w:anchor="ref-who_2021">
        <w:r>
          <w:rPr>
            <w:rStyle w:val="Hyperlink"/>
          </w:rPr>
          <w:t xml:space="preserve">2021</w:t>
        </w:r>
      </w:hyperlink>
      <w:r>
        <w:t xml:space="preserve">)</w:t>
      </w:r>
      <w:r>
        <w:t xml:space="preserve">. Afin de tendre vers ces objectifs opérationnels, il est d’une part nécéssaire d’appronfondir certaines connaissances fondamentales sur les déterminants de la transmission résiduelle (par exemple, les mécanismes biologiques sous-jacents aux résistances comportementales). D’autre part, pour optimer et prioriser les interventions sur un territoire d’intérêt, il est important d’acquérir une connaissance fine du risque de transmission résiduelle, en particulier, de ses composantes, de son intensité, et de sa distribution spatio-temporelle sur ce territoire. Nous proposons ci-après trois approches, constituant autant d’enjeux de la thèse, permettant de générer des connaissances essentielles à ces effets. Ces approches visent respectivement à i) mesurer et caractériser le risque de transmission résiduelle, ii) comprendre ce risque, et iii) prédire ce risque.</w:t>
      </w:r>
    </w:p>
    <w:bookmarkStart w:id="97" w:name="measure-risk"/>
    <w:p>
      <w:pPr>
        <w:pStyle w:val="Heading4"/>
      </w:pPr>
      <w:r>
        <w:t xml:space="preserve">Approche n°1 : Mesurer et caractériser le risque</w:t>
      </w:r>
    </w:p>
    <w:p>
      <w:pPr>
        <w:pStyle w:val="FirstParagraph"/>
      </w:pPr>
      <w:r>
        <w:t xml:space="preserve">Le risque de transmission résiduelle peut être défini comme la probabilité qu’un anophèle entre en contact avec un humain (autrement dit, probabilité de contact homme-vecteur), en zone couverte par les MIILDA ou PID. Bien que le simple contact avec l’humain ne soit pas suffisant pour transmettre le parasite (il faut par exemple, en sus, que l’anophèle soit infectieux, que la piqûre soit suffisamment longue, etc.), nous admettrons cette définition du risque de TR pour la suite de ce manuscrit. Le contact homme-vecteur se produit lorsque les anophèles sont en recherche de repas de sang et que simultanément les hommes ne sont pas protégés par les moustiquaires. La probabilité de ce contact dépend donc en partie du comportement de l’anophèle - ses horaires et sites d’activités de recherche de repas de sang - et de celui de l’humain - son utilisation ou absence d’utilisation de moustiquaire, ses horaires d’utilisation de moustiquaires, ses habitudes nocturnes. En mesurant les comportements horaires anophéliens et humains au sein d’une même unité spatio-temporelle, il est possible de quantifier la probabilité de l’intéraction entre l’anophèle et l’humain : autrement dit, le risque de transmission résiduelle</w:t>
      </w:r>
      <w:r>
        <w:t xml:space="preserve"> </w:t>
      </w:r>
      <w:r>
        <w:t xml:space="preserve">(</w:t>
      </w:r>
      <w:hyperlink w:anchor="ref-Garrett-Jones_1964">
        <w:r>
          <w:rPr>
            <w:rStyle w:val="Hyperlink"/>
          </w:rPr>
          <w:t xml:space="preserve">Garrett-Jones &amp; Organization, 1964</w:t>
        </w:r>
      </w:hyperlink>
      <w:r>
        <w:t xml:space="preserve">;</w:t>
      </w:r>
      <w:r>
        <w:t xml:space="preserve"> </w:t>
      </w:r>
      <w:hyperlink w:anchor="ref-killeen_quantifying_2006">
        <w:r>
          <w:rPr>
            <w:rStyle w:val="Hyperlink"/>
          </w:rPr>
          <w:t xml:space="preserve">Gerry F. Killeen et al., 2006</w:t>
        </w:r>
      </w:hyperlink>
      <w:r>
        <w:t xml:space="preserve">;</w:t>
      </w:r>
      <w:r>
        <w:t xml:space="preserve"> </w:t>
      </w:r>
      <w:hyperlink w:anchor="ref-killeen_characterizing_2014">
        <w:r>
          <w:rPr>
            <w:rStyle w:val="Hyperlink"/>
          </w:rPr>
          <w:t xml:space="preserve">Gerry F. Killeen, 2014</w:t>
        </w:r>
      </w:hyperlink>
      <w:r>
        <w:t xml:space="preserve">)</w:t>
      </w:r>
      <w:r>
        <w:t xml:space="preserve">.</w:t>
      </w:r>
      <w:r>
        <w:br/>
      </w:r>
    </w:p>
    <w:p>
      <w:pPr>
        <w:pStyle w:val="BodyText"/>
      </w:pPr>
      <w:r>
        <w:rPr>
          <w:bCs/>
          <w:b/>
        </w:rPr>
        <w:t xml:space="preserve">L’approche descriptive du risque de transmission résiduelle (</w:t>
      </w:r>
      <w:r>
        <w:rPr>
          <w:iCs/>
          <w:i/>
          <w:bCs/>
          <w:b/>
        </w:rPr>
        <w:t xml:space="preserve">mesurer et caractériser le risque</w:t>
      </w:r>
      <w:r>
        <w:rPr>
          <w:bCs/>
          <w:b/>
        </w:rPr>
        <w:t xml:space="preserve">) consiste donc à quantifier la probabibilité de contact homme-vecteur et caractériser les sites et horaires où s’effectue ce contact, en zone couverte par les MIILDA.</w:t>
      </w:r>
      <w:r>
        <w:br/>
      </w:r>
    </w:p>
    <w:p>
      <w:pPr>
        <w:pStyle w:val="BodyText"/>
      </w:pPr>
      <w:r>
        <w:t xml:space="preserve">Une méthode permettant l’étude des interactions comportementales entre les populations humaines et vectorielles en zone couverte par les MIILDA a été décrite par</w:t>
      </w:r>
      <w:r>
        <w:t xml:space="preserve"> </w:t>
      </w:r>
      <w:r>
        <w:t xml:space="preserve">(</w:t>
      </w:r>
      <w:hyperlink w:anchor="ref-killeen_quantifying_2006">
        <w:r>
          <w:rPr>
            <w:rStyle w:val="Hyperlink"/>
          </w:rPr>
          <w:t xml:space="preserve">Gerry F. Killeen et al., 2006</w:t>
        </w:r>
      </w:hyperlink>
      <w:r>
        <w:t xml:space="preserve">)</w:t>
      </w:r>
      <w:r>
        <w:t xml:space="preserve"> </w:t>
      </w:r>
      <w:r>
        <w:t xml:space="preserve">et améliorée par</w:t>
      </w:r>
      <w:r>
        <w:t xml:space="preserve"> </w:t>
      </w:r>
      <w:r>
        <w:t xml:space="preserve">(</w:t>
      </w:r>
      <w:hyperlink w:anchor="ref-geissbuhler_interdependence_2007">
        <w:r>
          <w:rPr>
            <w:rStyle w:val="Hyperlink"/>
          </w:rPr>
          <w:t xml:space="preserve">Geissbühler et al., 2007</w:t>
        </w:r>
      </w:hyperlink>
      <w:r>
        <w:t xml:space="preserve">)</w:t>
      </w:r>
      <w:r>
        <w:t xml:space="preserve">. Cette méthode requiert la collecte de données fines sur les comportements humains (possession, utilisation, et horaires d’utilisation, de moustiquaires) et vectoriels (abondances horaires des piqûres de vecteurs). Ces données sont ensuite introduites dans un modèle mathématique calculant l’exposition humaine horaire à la piqûre d’anophèle.</w:t>
      </w:r>
      <w:r>
        <w:br/>
      </w:r>
    </w:p>
    <w:p>
      <w:pPr>
        <w:pStyle w:val="BodyText"/>
      </w:pPr>
      <w:r>
        <w:t xml:space="preserve">Ces données et cette approche permet de dégager de précieuses informations concernant la transmission résiduelle sur un territoire d’intérêt : taux de possession et utilisation globale des moustiquaires par la population, niveau de protection conférer par les moustiquaires, site (intérieur ou extérieur des habitations) et horaire (soir, nuit, matin) où la transmission résiduelle s’effectue, hétérogénéité spatio-temporelle du risque de transmission résiduelle. Sur la base de ces informations et connaissances, il sera possible d’élaborer des plans de gestion et outils efficaces : par exemple, programmer une campagne de distribution de moustiquaires (si les taux de possession sont faibles) ou d’information, éducation, communication à leur utilisation (si les taux d’utilisation sont faibles), ou encore déployer des interventions de LAV complémentaires à la MIILDA qui ciblent la part résiduelle de la transmission (cad. qui visent les vecteurs impliqués dans le risque de transmission résiduelle).</w:t>
      </w:r>
      <w:r>
        <w:br/>
      </w:r>
    </w:p>
    <w:bookmarkEnd w:id="97"/>
    <w:bookmarkStart w:id="98" w:name="explain-risk"/>
    <w:p>
      <w:pPr>
        <w:pStyle w:val="Heading4"/>
      </w:pPr>
      <w:r>
        <w:t xml:space="preserve">Approche n°2 : Comprendre le risque</w:t>
      </w:r>
    </w:p>
    <w:p>
      <w:pPr>
        <w:pStyle w:val="FirstParagraph"/>
      </w:pPr>
      <w:r>
        <w:t xml:space="preserve">Si l’approche descriptive présentée dans la section précédente permet de mesurer la probabilité de contact hôte-vecteur, elle ne permet pas de comprendre les raisons sous-jacentes de l’intensité et de la variabilité spatio-temporelle de cette intéraction.</w:t>
      </w:r>
      <w:r>
        <w:t xml:space="preserve"> </w:t>
      </w:r>
      <w:r>
        <w:rPr>
          <w:bCs/>
          <w:b/>
        </w:rPr>
        <w:t xml:space="preserve">L’approche explicative du risque de transmission résiduelle proposée ici consiste ainsi à identifier les déterminants de l’intensité et de l’hétérogénéité spatio-temporelle de la probabibilité de contact homme-vecteur, en zone couverte par les MIILDA.</w:t>
      </w:r>
      <w:r>
        <w:br/>
      </w:r>
    </w:p>
    <w:p>
      <w:pPr>
        <w:pStyle w:val="BodyText"/>
      </w:pPr>
      <w:r>
        <w:t xml:space="preserve">Nous pouvons factoriser la probabilité de contact homme-vecteur en composantes directement dépendantes du vecteur et en composantes directement dépendantes de l’homme. Ainsi, les composantes dépendantes du vecteur sont par exemple :</w:t>
      </w:r>
    </w:p>
    <w:p>
      <w:pPr>
        <w:numPr>
          <w:ilvl w:val="0"/>
          <w:numId w:val="1008"/>
        </w:numPr>
        <w:pStyle w:val="Compact"/>
      </w:pPr>
      <w:r>
        <w:rPr>
          <w:iCs/>
          <w:i/>
        </w:rPr>
        <w:t xml:space="preserve">Abondance journalière des vecteurs</w:t>
      </w:r>
      <w:r>
        <w:t xml:space="preserve"> </w:t>
      </w:r>
      <w:r>
        <w:t xml:space="preserve">: la densité environnante de vecteurs augmente à priori la probabilité pour un homme d’entrer en contact avec un vecteur ;</w:t>
      </w:r>
    </w:p>
    <w:p>
      <w:pPr>
        <w:numPr>
          <w:ilvl w:val="0"/>
          <w:numId w:val="1008"/>
        </w:numPr>
        <w:pStyle w:val="Compact"/>
      </w:pPr>
      <w:r>
        <w:rPr>
          <w:iCs/>
          <w:i/>
        </w:rPr>
        <w:t xml:space="preserve">Résistances physiologiques des vecteurs</w:t>
      </w:r>
      <w:r>
        <w:t xml:space="preserve"> </w:t>
      </w:r>
      <w:r>
        <w:t xml:space="preserve">: les vecteurs résistants aux insecticides ont une longévité accrue, augmentant ainsi à priori à la fois la probabilité pour ces vecteurs (qui vivront plus longtemps) de transmettre le parasite, et la densité globale des vecteurs ;</w:t>
      </w:r>
    </w:p>
    <w:p>
      <w:pPr>
        <w:numPr>
          <w:ilvl w:val="0"/>
          <w:numId w:val="1008"/>
        </w:numPr>
        <w:pStyle w:val="Compact"/>
      </w:pPr>
      <w:r>
        <w:rPr>
          <w:iCs/>
          <w:i/>
        </w:rPr>
        <w:t xml:space="preserve">Résistances comportementales des vecteurs</w:t>
      </w:r>
      <w:r>
        <w:t xml:space="preserve"> </w:t>
      </w:r>
      <w:r>
        <w:t xml:space="preserve">: les vecteurs exophages ou piquant précocement ou tardivement échappent à la protection conférée par les MIILDA et augmentent donc à priori la probabilité de contact homme-vecteur.</w:t>
      </w:r>
      <w:r>
        <w:br/>
      </w:r>
    </w:p>
    <w:p>
      <w:pPr>
        <w:pStyle w:val="FirstParagraph"/>
      </w:pPr>
      <w:r>
        <w:t xml:space="preserve">Les composantes dépendantes de l’homme sont par exemple :</w:t>
      </w:r>
    </w:p>
    <w:p>
      <w:pPr>
        <w:numPr>
          <w:ilvl w:val="0"/>
          <w:numId w:val="1009"/>
        </w:numPr>
        <w:pStyle w:val="Compact"/>
      </w:pPr>
      <w:r>
        <w:rPr>
          <w:iCs/>
          <w:i/>
        </w:rPr>
        <w:t xml:space="preserve">Possession et utilisation de moustiquaire</w:t>
      </w:r>
      <w:r>
        <w:t xml:space="preserve"> </w:t>
      </w:r>
      <w:r>
        <w:t xml:space="preserve">: La probabilité de posséder et utiliser une moustiquaire réduit à priori la probabilité de contact homme-vecteur ;</w:t>
      </w:r>
    </w:p>
    <w:p>
      <w:pPr>
        <w:numPr>
          <w:ilvl w:val="0"/>
          <w:numId w:val="1009"/>
        </w:numPr>
        <w:pStyle w:val="Compact"/>
      </w:pPr>
      <w:r>
        <w:rPr>
          <w:iCs/>
          <w:i/>
        </w:rPr>
        <w:t xml:space="preserve">Horaires d’utilisation des moustiquaires</w:t>
      </w:r>
      <w:r>
        <w:t xml:space="preserve"> </w:t>
      </w:r>
      <w:r>
        <w:t xml:space="preserve">: Les horaires d’utilisation des moustiquaires modulent à priori la probabilité de contact homme-vecteur.</w:t>
      </w:r>
      <w:r>
        <w:br/>
      </w:r>
    </w:p>
    <w:p>
      <w:pPr>
        <w:pStyle w:val="FirstParagraph"/>
      </w:pPr>
      <w:r>
        <w:t xml:space="preserve">Comprendre le risque de transmission résiduelle consiste à améliorer les connaissances sur les systèmes {environnement - vecteur} et {environnement - hôte} du système vectoriel : identifier les déterminants (environnementaux, génétiques, socio-économiques, etc.) de chacune de ces composantes du risque et la manière dont ils impactent la composante. En d’autre termes, il s’agit d’approfondir les connaissances fondamentales sur les déterminants du risque :</w:t>
      </w:r>
    </w:p>
    <w:p>
      <w:pPr>
        <w:numPr>
          <w:ilvl w:val="0"/>
          <w:numId w:val="1010"/>
        </w:numPr>
        <w:pStyle w:val="Compact"/>
      </w:pPr>
      <w:r>
        <w:t xml:space="preserve">Caractériser la niche écologique des vecteurs ;</w:t>
      </w:r>
    </w:p>
    <w:p>
      <w:pPr>
        <w:numPr>
          <w:ilvl w:val="0"/>
          <w:numId w:val="1010"/>
        </w:numPr>
        <w:pStyle w:val="Compact"/>
      </w:pPr>
      <w:r>
        <w:t xml:space="preserve">Caractériser la niche</w:t>
      </w:r>
      <w:r>
        <w:t xml:space="preserve"> </w:t>
      </w:r>
      <w:r>
        <w:t xml:space="preserve">“</w:t>
      </w:r>
      <w:r>
        <w:t xml:space="preserve">d’activité</w:t>
      </w:r>
      <w:r>
        <w:t xml:space="preserve">”</w:t>
      </w:r>
      <w:r>
        <w:t xml:space="preserve"> </w:t>
      </w:r>
      <w:r>
        <w:t xml:space="preserve">des vecteurs en recherche d’hôte ;</w:t>
      </w:r>
    </w:p>
    <w:p>
      <w:pPr>
        <w:numPr>
          <w:ilvl w:val="0"/>
          <w:numId w:val="1010"/>
        </w:numPr>
        <w:pStyle w:val="Compact"/>
      </w:pPr>
      <w:r>
        <w:t xml:space="preserve">Comprendre les conditions d’émergence et de développement des résistances aux insecticides au sein d’une population de vecteurs ;</w:t>
      </w:r>
    </w:p>
    <w:p>
      <w:pPr>
        <w:numPr>
          <w:ilvl w:val="0"/>
          <w:numId w:val="1010"/>
        </w:numPr>
        <w:pStyle w:val="Compact"/>
      </w:pPr>
      <w:r>
        <w:t xml:space="preserve">Comprendre les conditions de possession et d’utilisation des moustiquaires par la population ;</w:t>
      </w:r>
    </w:p>
    <w:p>
      <w:pPr>
        <w:numPr>
          <w:ilvl w:val="0"/>
          <w:numId w:val="1010"/>
        </w:numPr>
        <w:pStyle w:val="Compact"/>
      </w:pPr>
      <w:r>
        <w:t xml:space="preserve">etc.</w:t>
      </w:r>
      <w:r>
        <w:br/>
      </w:r>
    </w:p>
    <w:p>
      <w:pPr>
        <w:pStyle w:val="FirstParagraph"/>
      </w:pPr>
      <w:r>
        <w:t xml:space="preserve">Un des enjeux (et difficultés) de cette approche est son caractère holistique : pour chaque composante de risque, il ne s’agit pas uniquement d’étudier si et comment un facteur donné impacte cette composante, mais plutôt de comprendre de quelle manière l’ensemble des potentiels facteurs impacte de manière complexe, en conditions</w:t>
      </w:r>
      <w:r>
        <w:t xml:space="preserve"> </w:t>
      </w:r>
      <w:r>
        <w:t xml:space="preserve">“</w:t>
      </w:r>
      <w:r>
        <w:t xml:space="preserve">réelles</w:t>
      </w:r>
      <w:r>
        <w:t xml:space="preserve">”</w:t>
      </w:r>
      <w:r>
        <w:t xml:space="preserve"> </w:t>
      </w:r>
      <w:r>
        <w:t xml:space="preserve">(cad. de terrain), cette composante de risque. Cette connaissance holistique des déterminants des différentes composantes du risque peut permettre d’identifier les leviers d’actions les plus pertinents pour diminuer le risque de transmission résiduelle.</w:t>
      </w:r>
      <w:r>
        <w:br/>
      </w:r>
    </w:p>
    <w:p>
      <w:pPr>
        <w:pStyle w:val="BodyText"/>
      </w:pPr>
      <w:r>
        <w:t xml:space="preserve">Cette analyse peut se réaliser à l’aide de données (sur les composantes de risque à expliquer et leurs déterminants potentiels) et de méthodes de modélisation statistique qui seront détaillées dans le chapitre 2 de ce manuscrit. De manière générale, les enjeux sont ici d’identifier, pour chaque composante du risque : i) ses déterminants (quels facteurs influencent les intensités observées et la variabilité spatio-temporelle ?), ii) l’importance relative de chaque déterminant dans le comportement de la composante de risque (quels sont les déterminants qui influencent le plus la composante ?), iii) l’effet respectif (relation fonctionnelle) de chaque déterminant sur la composante du risque (si la valeur d’un des déterminants change, comment va changer la valeur de la composante du risque ?), et iv) l’existence, la nature et l’effet de potentielles intéractions entre les déterminants (comment les intéractions entre les déterminants impactent-elles la composante de risque ?).</w:t>
      </w:r>
    </w:p>
    <w:bookmarkEnd w:id="98"/>
    <w:bookmarkStart w:id="102" w:name="predict-risk"/>
    <w:p>
      <w:pPr>
        <w:pStyle w:val="Heading4"/>
      </w:pPr>
      <w:r>
        <w:t xml:space="preserve">Approche n°3 : Prédire le risque</w:t>
      </w:r>
    </w:p>
    <w:p>
      <w:pPr>
        <w:pStyle w:val="FirstParagraph"/>
      </w:pPr>
      <w:r>
        <w:t xml:space="preserve">Les deux approches précédentes (décrire et comprendre le risque) permettent d’accroitre les connaissances sur les intéractions (systèmes) hôte-vecteur, hôte-environnement, et vecteur-environnement ; ces connaissances permettant à leur tour de définir des caractéristiques pour de nouveaux outils de LAV et d’envisager des interventions adaptées au contexte local. Mais une fois ces interventions définies, comment savoir où et quand les déployer sur l’ensemble du territoire ? Prédire spatio-temporellement le risque de transmission résiduelle permet de cibler et prioriser les lieux et moments pour le déploiement des actions de gestion. Cette troisième approche consiste à estimer les valeurs des composantes du risque de transmission (abondance des vecteurs, taux de vecteurs résistants, etc.), voire du risque en lui-même (nombre de piqures / homme ou probabilité de contact homme-vecteur), en tout point de l’espace et du temps pour lesquels les observations « terrain » de ces composantes ne sont pas disponibles.</w:t>
      </w:r>
      <w:r>
        <w:br/>
      </w:r>
    </w:p>
    <w:p>
      <w:pPr>
        <w:pStyle w:val="BodyText"/>
      </w:pPr>
      <w:r>
        <w:rPr>
          <w:bCs/>
          <w:b/>
        </w:rPr>
        <w:t xml:space="preserve">L’approche prédictive du risque de transmission résiduelle (</w:t>
      </w:r>
      <w:r>
        <w:rPr>
          <w:iCs/>
          <w:i/>
          <w:bCs/>
          <w:b/>
        </w:rPr>
        <w:t xml:space="preserve">prédire le risque</w:t>
      </w:r>
      <w:r>
        <w:rPr>
          <w:bCs/>
          <w:b/>
        </w:rPr>
        <w:t xml:space="preserve">) consiste donc à prédire ou anticiper la probabibilité de contact homme-vecteur en tout point de l’espace et du temps.</w:t>
      </w:r>
      <w:r>
        <w:br/>
      </w:r>
    </w:p>
    <w:p>
      <w:pPr>
        <w:pStyle w:val="BodyText"/>
      </w:pPr>
      <w:r>
        <w:t xml:space="preserve">Concrètement, cette approche consiste à générer des cartes (éventuellement saisonnières) pour chaque composante du risque (par exemple, cartes de la distribution de l’abondance des vecteurs), ou un système d’alerte précoce qui permettra d’anticiper à courte ou moyenne échéance, dans l’espace et dans le temps, les composantes du risque. Ces outils permettront de prioriser les zones d’intervention, et d’anticiper précocement le besoin (éventuellement ponctuel) en ces interventions. Notons que les granularités (résolutions) spatiales et temporelles de la prédiction (ou les échéances d’anticipation) sont à définir en fonction de plusieurs caractéristiques et contraintes : dynamiques spatio-temporelles observées pour la composante de risque, échelles opérationnelles envisageables pour le déploiement des mesures, disponibilité et granularité des données environnementales, etc.</w:t>
      </w:r>
      <w:r>
        <w:br/>
      </w:r>
    </w:p>
    <w:p>
      <w:pPr>
        <w:pStyle w:val="BodyText"/>
      </w:pPr>
      <w:r>
        <w:t xml:space="preserve">Les liens entre les différentes composantes du risque et l’environnement permet leur prédiction spatio-temporelle. L’estimation de la valeur d’une composante de risque en tout point de l’espace et du temps se réalise en deux étapes : i) l’apprentissage des relations qui existent entre la composante de risque étudiée et l’environnement (sur le même principe que l’analyse explicative - à la différence près que, dans l’analyse prédictive, il n’est pas nécéssaire d’expliciter ces liens) et ii) l’extrapolation de cet apprentissage en tous points de l’espace et du temps pour lesquels les données environnementales sont disponibles. Cette approche nécéssite donc la collecte de données représentatives des composantes du risque à prédire (entomologiques et environnementales notamment) et peut se réaliser là aussi grâce à des méthodes de modélisation statistique.</w:t>
      </w:r>
      <w:r>
        <w:br/>
      </w:r>
    </w:p>
    <w:p>
      <w:pPr>
        <w:pStyle w:val="BodyText"/>
      </w:pPr>
      <w:r>
        <w:br/>
      </w:r>
    </w:p>
    <w:p>
      <w:pPr>
        <w:pStyle w:val="BodyText"/>
      </w:pPr>
      <w:r>
        <w:t xml:space="preserve">Nous avons résumé dans le tableau ci-dessous les trois approches proposées (mesurer, comprendre, prédire le risque) : enjeux, questions, données nécéssaires, approches d’analyse des données, exemple de connaissances ou outils potentiellement générés, exemple d’enjeux opérationnels.</w:t>
      </w:r>
      <w:r>
        <w:br/>
      </w:r>
    </w:p>
    <w:p>
      <w:pPr>
        <w:pStyle w:val="CaptionedFigure"/>
      </w:pPr>
      <w:r>
        <w:drawing>
          <wp:inline>
            <wp:extent cx="3810000" cy="2540000"/>
            <wp:effectExtent b="0" l="0" r="0" t="0"/>
            <wp:docPr descr="Figure 17: Enjeux et objectifs des trois approches théoriques pour décrire, comprendre et prédire le risque de transmission résiduelle du paludisme" title="" id="100" name="Picture"/>
            <a:graphic>
              <a:graphicData uri="http://schemas.openxmlformats.org/drawingml/2006/picture">
                <pic:pic>
                  <pic:nvPicPr>
                    <pic:cNvPr descr="tables/table_approches_tr.pdf" id="101" name="Picture"/>
                    <pic:cNvPicPr>
                      <a:picLocks noChangeArrowheads="1" noChangeAspect="1"/>
                    </pic:cNvPicPr>
                  </pic:nvPicPr>
                  <pic:blipFill>
                    <a:blip r:embed="rId9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17: Enjeux et objectifs des trois approches théoriques pour décrire, comprendre et prédire le risque de transmission résiduelle du paludisme</w:t>
      </w:r>
    </w:p>
    <w:bookmarkEnd w:id="102"/>
    <w:bookmarkEnd w:id="103"/>
    <w:bookmarkStart w:id="104" w:name="X876e4808b507baef6a4d6a9edaef6358b14ddde"/>
    <w:p>
      <w:pPr>
        <w:pStyle w:val="Heading3"/>
      </w:pPr>
      <w:r>
        <w:t xml:space="preserve">Enjeu de la thèse et organisation du manuscrit</w:t>
      </w:r>
    </w:p>
    <w:p>
      <w:pPr>
        <w:pStyle w:val="FirstParagraph"/>
      </w:pPr>
      <w:r>
        <w:t xml:space="preserve">Cette thèse propose d’étudier, en implémentant en partie les approches décrites précédemment, le risque de transmission résiduelle du paludisme sur deux zones d’étude situées au Burkina Faso et en Côte d’Ivoire. Chaque zone recouvre environ la surface d’un district sanitaire rural ouest-africain (environ 2500 km</w:t>
      </w:r>
      <m:oMath>
        <m:sSup>
          <m:e>
            <m:r>
              <m:t>​</m:t>
            </m:r>
          </m:e>
          <m:sup>
            <m:r>
              <m:t>2</m:t>
            </m:r>
          </m:sup>
        </m:sSup>
      </m:oMath>
      <w:r>
        <w:t xml:space="preserve">). Ainsi, l’échelle spatiale d’étude est dite</w:t>
      </w:r>
      <w:r>
        <w:t xml:space="preserve"> </w:t>
      </w:r>
      <w:r>
        <w:t xml:space="preserve">“</w:t>
      </w:r>
      <w:r>
        <w:t xml:space="preserve">paysagère</w:t>
      </w:r>
      <w:r>
        <w:t xml:space="preserve">”</w:t>
      </w:r>
      <w:r>
        <w:t xml:space="preserve"> </w:t>
      </w:r>
      <w:r>
        <w:t xml:space="preserve">: autrement dit, nous travaillons à l’échelle du</w:t>
      </w:r>
      <w:r>
        <w:t xml:space="preserve"> </w:t>
      </w:r>
      <w:r>
        <w:rPr>
          <w:iCs/>
          <w:i/>
        </w:rPr>
        <w:t xml:space="preserve">village</w:t>
      </w:r>
      <w:r>
        <w:t xml:space="preserve"> </w:t>
      </w:r>
      <w:r>
        <w:t xml:space="preserve">dans ces zones. L’enjeu d’ensemble est de montrer en quoi ces différentes approches apportent des éléments complémentaires permettant de proposer des stratégies de prévention adaptées aux contextes locaux.</w:t>
      </w:r>
      <w:r>
        <w:br/>
      </w:r>
    </w:p>
    <w:p>
      <w:pPr>
        <w:pStyle w:val="BodyText"/>
      </w:pPr>
      <w:r>
        <w:t xml:space="preserve">Ce travail fera très largement appel à des méthodes avancées et non triviales issues de la science des données, en particulier la modélisation statistique. Aussi, à ces enjeux scientifiques s’en ajoute un davantage méthodologique, consistant à détailler les différentes manières dont la modélisation statistique peut servir la recherche scientifique ; et plus particulièrement à préciser son intérêt et potentiel dans l’étude des systèmes biologiques complexes tel que le système environnement-vecteur en conditions naturelles.</w:t>
      </w:r>
      <w:r>
        <w:br/>
      </w:r>
    </w:p>
    <w:p>
      <w:pPr>
        <w:pStyle w:val="BodyText"/>
      </w:pPr>
      <w:r>
        <w:t xml:space="preserve">Les travaux de thèse s’articulent autour de quatre articles. Au total, deux de ces articles ont été rédigés en tant qu’auteur principal, et les deux autres ont été co-rédigés. Parmi les deux articles rédigés en auteur principal, l’un a été accepté et l’autre devrait être soumis prochainement. Les deux articles co-rédigés ont été acceptés. Tous les articles sont en anglais et sont donc préfacés dans ce manuscrit d’une introduction et d’un résumé en français.</w:t>
      </w:r>
      <w:r>
        <w:br/>
      </w:r>
    </w:p>
    <w:p>
      <w:pPr>
        <w:pStyle w:val="BodyText"/>
      </w:pPr>
      <w:r>
        <w:t xml:space="preserve">Le manuscrit se compose de six chapitres faisant suite à ce premier chapitre introductif.</w:t>
      </w:r>
      <w:r>
        <w:br/>
      </w:r>
    </w:p>
    <w:p>
      <w:pPr>
        <w:pStyle w:val="BodyText"/>
      </w:pPr>
      <w:r>
        <w:t xml:space="preserve">Le</w:t>
      </w:r>
      <w:r>
        <w:t xml:space="preserve"> </w:t>
      </w:r>
      <w:r>
        <w:rPr>
          <w:bCs/>
          <w:b/>
        </w:rPr>
        <w:t xml:space="preserve">chapitre</w:t>
      </w:r>
      <w:r>
        <w:rPr>
          <w:bCs/>
          <w:b/>
        </w:rPr>
        <w:t xml:space="preserve"> </w:t>
      </w:r>
      <w:r>
        <w:rPr>
          <w:bCs/>
          <w:b/>
        </w:rPr>
        <w:t xml:space="preserve">??</w:t>
      </w:r>
      <w:r>
        <w:t xml:space="preserve"> </w:t>
      </w:r>
      <w:r>
        <w:t xml:space="preserve">(</w:t>
      </w:r>
      <w:r>
        <w:rPr>
          <w:iCs/>
          <w:i/>
          <w:bCs/>
          <w:b/>
        </w:rPr>
        <w:t xml:space="preserve">Contexte méthodologique : Étude des systèmes complexes et modélisation statistique</w:t>
      </w:r>
      <w:r>
        <w:t xml:space="preserve">) est a pour objectif de présenter et justifier la forme de raisonnement scientifique et l’approche méthodologique utilisée dans les principaux travaux de la thèse (chapitres 4 et 5). Nous y introduisons les différentes manières d’appréhender l’étude des systèmes biologiques complexes, et le rôle que peut tenir la modélisation statistique dans ce contexte. Nous élaborons sur les questions suivantes :</w:t>
      </w:r>
    </w:p>
    <w:p>
      <w:pPr>
        <w:numPr>
          <w:ilvl w:val="0"/>
          <w:numId w:val="1011"/>
        </w:numPr>
        <w:pStyle w:val="Compact"/>
      </w:pPr>
      <w:r>
        <w:t xml:space="preserve">Comment aborder l’étude des systèmes biologiques complexes tel que le système environnement-vecteur ? Quelles sont les deux approches existantes pour ce faire, et en quoi sont-elles complémentaires ?</w:t>
      </w:r>
    </w:p>
    <w:p>
      <w:pPr>
        <w:numPr>
          <w:ilvl w:val="0"/>
          <w:numId w:val="1011"/>
        </w:numPr>
        <w:pStyle w:val="Compact"/>
      </w:pPr>
      <w:r>
        <w:t xml:space="preserve">A quoi sert la modélisation statistique ? En quoi cet ensemble d’outils et de méthodes permet-il d’appréhender les systèmes complexes, et au sens plus large, certains enjeux majeurs de la recherche scientifique (tester, consolider, créer des connaissances scientifiques ; prédire) ?</w:t>
      </w:r>
    </w:p>
    <w:p>
      <w:pPr>
        <w:numPr>
          <w:ilvl w:val="0"/>
          <w:numId w:val="1011"/>
        </w:numPr>
        <w:pStyle w:val="Compact"/>
      </w:pPr>
      <w:r>
        <w:t xml:space="preserve">Quelles sont les différentes étapes d’un travail de modélisation statistique ?</w:t>
      </w:r>
    </w:p>
    <w:p>
      <w:pPr>
        <w:numPr>
          <w:ilvl w:val="0"/>
          <w:numId w:val="1011"/>
        </w:numPr>
        <w:pStyle w:val="Compact"/>
      </w:pPr>
      <w:r>
        <w:t xml:space="preserve">En quoi les développements récents en science des données offrent-ils de nouvelles perspectives pour approfondir la compréhension des liens et intéractions dans les systèmes biologiques complexes, tels que le système environnement-vecteur ?</w:t>
      </w:r>
      <w:r>
        <w:br/>
      </w:r>
    </w:p>
    <w:p>
      <w:pPr>
        <w:pStyle w:val="FirstParagraph"/>
      </w:pPr>
      <w:r>
        <w:t xml:space="preserve">Le</w:t>
      </w:r>
      <w:r>
        <w:t xml:space="preserve"> </w:t>
      </w:r>
      <w:r>
        <w:rPr>
          <w:bCs/>
          <w:b/>
        </w:rPr>
        <w:t xml:space="preserve">chapitre</w:t>
      </w:r>
      <w:r>
        <w:rPr>
          <w:bCs/>
          <w:b/>
        </w:rPr>
        <w:t xml:space="preserve"> </w:t>
      </w:r>
      <w:r>
        <w:rPr>
          <w:bCs/>
          <w:b/>
        </w:rPr>
        <w:t xml:space="preserve">??</w:t>
      </w:r>
      <w:r>
        <w:t xml:space="preserve"> </w:t>
      </w:r>
      <w:r>
        <w:t xml:space="preserve">(</w:t>
      </w:r>
      <w:r>
        <w:rPr>
          <w:iCs/>
          <w:i/>
          <w:bCs/>
          <w:b/>
        </w:rPr>
        <w:t xml:space="preserve">Zones d’étude et préparation des données environnementales télédétectées</w:t>
      </w:r>
      <w:r>
        <w:t xml:space="preserve">) présente le projet dans lequel s’inscrit la thèse, les zones d’étude, et les travaux de production de certaines données environnementales utilisées dans les chapitres 4 et 5 (données paysagères et météorologiques produites à partir d’images satellitaires d’observation de la Terre).</w:t>
      </w:r>
      <w:r>
        <w:br/>
      </w:r>
    </w:p>
    <w:p>
      <w:pPr>
        <w:pStyle w:val="BodyText"/>
      </w:pPr>
      <w:r>
        <w:t xml:space="preserve">Les chapitres 4 à 6 constituent le coeur de la thèse.</w:t>
      </w:r>
      <w:r>
        <w:br/>
      </w:r>
    </w:p>
    <w:p>
      <w:pPr>
        <w:pStyle w:val="BodyText"/>
      </w:pPr>
      <w:r>
        <w:t xml:space="preserve">Au</w:t>
      </w:r>
      <w:r>
        <w:t xml:space="preserve"> </w:t>
      </w:r>
      <w:r>
        <w:rPr>
          <w:bCs/>
          <w:b/>
        </w:rPr>
        <w:t xml:space="preserve">chapitre</w:t>
      </w:r>
      <w:r>
        <w:rPr>
          <w:bCs/>
          <w:b/>
        </w:rPr>
        <w:t xml:space="preserve"> </w:t>
      </w:r>
      <w:r>
        <w:rPr>
          <w:bCs/>
          <w:b/>
        </w:rPr>
        <w:t xml:space="preserve">??</w:t>
      </w:r>
      <w:r>
        <w:t xml:space="preserve"> </w:t>
      </w:r>
      <w:r>
        <w:t xml:space="preserve">(</w:t>
      </w:r>
      <w:r>
        <w:rPr>
          <w:iCs/>
          <w:i/>
          <w:bCs/>
          <w:b/>
        </w:rPr>
        <w:t xml:space="preserve">Modélisation des dynamiques spatio-temporelles des abondances des vecteurs</w:t>
      </w:r>
      <w:r>
        <w:t xml:space="preserve">) (article n°1, auteur principal, publié), nous étudions la composante du risque</w:t>
      </w:r>
      <w:r>
        <w:t xml:space="preserve"> </w:t>
      </w:r>
      <w:r>
        <w:t xml:space="preserve">“</w:t>
      </w:r>
      <w:r>
        <w:t xml:space="preserve">Abondance journalière des vecteurs</w:t>
      </w:r>
      <w:r>
        <w:t xml:space="preserve">”</w:t>
      </w:r>
      <w:r>
        <w:t xml:space="preserve"> </w:t>
      </w:r>
      <w:r>
        <w:t xml:space="preserve">(autrement dit, la niche écologique des vecteurs). Nous expliquons (approche n°2) et évaluons la prédictibilité (approche n°3) des dynamiques spatio-temporelles des abondances journalières des principales espèces d’anophèles présentes sur nos deux zones d’études, en les modélisant avec des données environnementales issues de produits satellitaires d’observation de la Terre. Nous apportons des éléments de réponse aux questions suivantes :</w:t>
      </w:r>
    </w:p>
    <w:p>
      <w:pPr>
        <w:numPr>
          <w:ilvl w:val="0"/>
          <w:numId w:val="1012"/>
        </w:numPr>
        <w:pStyle w:val="Compact"/>
      </w:pPr>
      <w:r>
        <w:t xml:space="preserve">Les densités agressives des vecteurs sont-elles hétérogènes dans l’espace et dans le temps sur nos zones d’étude ?</w:t>
      </w:r>
    </w:p>
    <w:p>
      <w:pPr>
        <w:numPr>
          <w:ilvl w:val="0"/>
          <w:numId w:val="1012"/>
        </w:numPr>
        <w:pStyle w:val="Compact"/>
      </w:pPr>
      <w:r>
        <w:t xml:space="preserve">Quels sont les déterminants des densités agressives pour chaque espèce majeure de vecteurs, et comment les impactent-ils ?</w:t>
      </w:r>
    </w:p>
    <w:p>
      <w:pPr>
        <w:numPr>
          <w:ilvl w:val="0"/>
          <w:numId w:val="1012"/>
        </w:numPr>
        <w:pStyle w:val="Compact"/>
      </w:pPr>
      <w:r>
        <w:t xml:space="preserve">Est-on en mesure de prédire les densités agressives dans l’espace et dans le temps ?</w:t>
      </w:r>
    </w:p>
    <w:p>
      <w:pPr>
        <w:numPr>
          <w:ilvl w:val="0"/>
          <w:numId w:val="1012"/>
        </w:numPr>
        <w:pStyle w:val="Compact"/>
      </w:pPr>
      <w:r>
        <w:t xml:space="preserve">Les déterminants considérés dans l’étude suffisent-ils à expliquer et prédire l’abondance des vecteurs et leur hétérogénéité spatio-temporelle dans nos zones d’étude ? Quels facteurs additionnels, non considérés dans l’étude, peuvent expliquer l’hétérogénéité des abondances ?</w:t>
      </w:r>
      <w:r>
        <w:br/>
      </w:r>
    </w:p>
    <w:p>
      <w:pPr>
        <w:pStyle w:val="FirstParagraph"/>
      </w:pPr>
      <w:r>
        <w:t xml:space="preserve">Au</w:t>
      </w:r>
      <w:r>
        <w:t xml:space="preserve"> </w:t>
      </w:r>
      <w:r>
        <w:rPr>
          <w:bCs/>
          <w:b/>
        </w:rPr>
        <w:t xml:space="preserve">chapitre</w:t>
      </w:r>
      <w:r>
        <w:rPr>
          <w:bCs/>
          <w:b/>
        </w:rPr>
        <w:t xml:space="preserve"> </w:t>
      </w:r>
      <w:r>
        <w:rPr>
          <w:bCs/>
          <w:b/>
        </w:rPr>
        <w:t xml:space="preserve">??</w:t>
      </w:r>
      <w:r>
        <w:t xml:space="preserve"> </w:t>
      </w:r>
      <w:r>
        <w:t xml:space="preserve">(</w:t>
      </w:r>
      <w:r>
        <w:rPr>
          <w:iCs/>
          <w:i/>
          <w:bCs/>
          <w:b/>
        </w:rPr>
        <w:t xml:space="preserve">Modélisation des dynamiques spatio-temporelles des résistances physiologiques et comportementales des vecteurs</w:t>
      </w:r>
      <w:r>
        <w:t xml:space="preserve">) (article n°2, auteur principal, à soumettre), nous étudions les composantes du risque</w:t>
      </w:r>
      <w:r>
        <w:t xml:space="preserve"> </w:t>
      </w:r>
      <w:r>
        <w:t xml:space="preserve">“</w:t>
      </w:r>
      <w:r>
        <w:t xml:space="preserve">Résistances physiologiques des vecteurs</w:t>
      </w:r>
      <w:r>
        <w:t xml:space="preserve">”</w:t>
      </w:r>
      <w:r>
        <w:t xml:space="preserve"> </w:t>
      </w:r>
      <w:r>
        <w:t xml:space="preserve">et</w:t>
      </w:r>
      <w:r>
        <w:t xml:space="preserve"> </w:t>
      </w:r>
      <w:r>
        <w:t xml:space="preserve">“</w:t>
      </w:r>
      <w:r>
        <w:t xml:space="preserve">Résistances comportementales des vecteurs</w:t>
      </w:r>
      <w:r>
        <w:t xml:space="preserve">”</w:t>
      </w:r>
      <w:r>
        <w:t xml:space="preserve"> </w:t>
      </w:r>
      <w:r>
        <w:t xml:space="preserve">(autrement dit, les conditions d’émergence et de développement de résistances des vecteurs aux insecticides). Nous expliquons (approche n°2) et évaluons la prédictibilité (approche n°3) des dynamiques spatio-temporelles des résistances physiologiques et des comportements des anophèles sur nos deux zones d’étude. En utilisant un nombre important de variables environnementales potentiellement explicatives des résistances, nous modélisons la probabilité individuelle de résistance physiologique des vecteurs ainsi que certains traits de leur comportement de piqûre (exophagie, agressivité précoce, agressivité tardive), afin d’apporter des éléments de réponse aux questions suivantes :</w:t>
      </w:r>
    </w:p>
    <w:p>
      <w:pPr>
        <w:numPr>
          <w:ilvl w:val="0"/>
          <w:numId w:val="1013"/>
        </w:numPr>
        <w:pStyle w:val="Compact"/>
      </w:pPr>
      <w:r>
        <w:t xml:space="preserve">Les résistances physiologiques et comportementales des vecteurs sont-elles hétérogènes dans l’espace et dans le temps sur nos zones d’étude ?</w:t>
      </w:r>
    </w:p>
    <w:p>
      <w:pPr>
        <w:numPr>
          <w:ilvl w:val="0"/>
          <w:numId w:val="1013"/>
        </w:numPr>
        <w:pStyle w:val="Compact"/>
      </w:pPr>
      <w:r>
        <w:t xml:space="preserve">Quels sont les déterminants des résistances physiologiques et comportementales pour chaque espèce majeure de vecteurs, et comment les impactent-ils ?</w:t>
      </w:r>
    </w:p>
    <w:p>
      <w:pPr>
        <w:numPr>
          <w:ilvl w:val="0"/>
          <w:numId w:val="1013"/>
        </w:numPr>
        <w:pStyle w:val="Compact"/>
      </w:pPr>
      <w:r>
        <w:t xml:space="preserve">Est-on en mesure de prédire les résistances physiologiques et comportementales dans l’espace et dans le temps ?</w:t>
      </w:r>
    </w:p>
    <w:p>
      <w:pPr>
        <w:numPr>
          <w:ilvl w:val="0"/>
          <w:numId w:val="1013"/>
        </w:numPr>
        <w:pStyle w:val="Compact"/>
      </w:pPr>
      <w:r>
        <w:t xml:space="preserve">Les déterminants considérés dans l’étude suffisent-ils à expliquer et prédire les résistances des vecteurs et leur hétérogénéité spatio-temporelle dans nos zones d’étude ? Quels facteurs additionnels, non considérés dans l’étude, peuvent expliquer l’hétérogénéité des résistances ?</w:t>
      </w:r>
      <w:r>
        <w:br/>
      </w:r>
    </w:p>
    <w:p>
      <w:pPr>
        <w:pStyle w:val="FirstParagraph"/>
      </w:pPr>
      <w:r>
        <w:t xml:space="preserve">Le</w:t>
      </w:r>
      <w:r>
        <w:t xml:space="preserve"> </w:t>
      </w:r>
      <w:r>
        <w:rPr>
          <w:bCs/>
          <w:b/>
        </w:rPr>
        <w:t xml:space="preserve">chapitre</w:t>
      </w:r>
      <w:r>
        <w:rPr>
          <w:bCs/>
          <w:b/>
        </w:rPr>
        <w:t xml:space="preserve"> </w:t>
      </w:r>
      <w:r>
        <w:rPr>
          <w:bCs/>
          <w:b/>
        </w:rPr>
        <w:t xml:space="preserve">??</w:t>
      </w:r>
      <w:r>
        <w:t xml:space="preserve"> </w:t>
      </w:r>
      <w:r>
        <w:t xml:space="preserve">(</w:t>
      </w:r>
      <w:r>
        <w:rPr>
          <w:iCs/>
          <w:i/>
          <w:bCs/>
          <w:b/>
        </w:rPr>
        <w:t xml:space="preserve">Etudes complémentaires : contributions à des travaux de modélisation</w:t>
      </w:r>
      <w:r>
        <w:t xml:space="preserve">) (articles n°3 et 4, co-auteur, publiés) rassemble les deux études complémentaires auxelles nous avons contribué dans le cadre de la thèse. Ces deux études concernent la zone d’étude située au Burkina Faso. Le premier article complémentaire (</w:t>
      </w:r>
      <w:r>
        <w:rPr>
          <w:iCs/>
          <w:i/>
        </w:rPr>
        <w:t xml:space="preserve">Modélisation de l’exposition humaine à la piqûre d’anophèles</w:t>
      </w:r>
      <w:r>
        <w:t xml:space="preserve">) vise à mesurer et caractériser la transmission résiduelle (approche n°1) sur la zone d’étude. Le deuxième article complémentaire (</w:t>
      </w:r>
      <w:r>
        <w:rPr>
          <w:iCs/>
          <w:i/>
        </w:rPr>
        <w:t xml:space="preserve">Modélisation des dynamiques spatio-temporelles des cas de paludisme</w:t>
      </w:r>
      <w:r>
        <w:t xml:space="preserve">) présente une étude visant à expliquer et prédire la distribution spatio-temporelle des cas de paludisme sur la zone d’étude, en utilisant des produits satellitaires d’observation de la Terre - comme pour les chapitres 4 et 5. Cette étude ne traite donc pas directement d’entomologie médicale, mais complémentairement aux études précédentes, permet d’illustrer la diversité des utilisations possibles des données satellitaires et modèles statistiques pour la gestion du paludisme sur le terrain.</w:t>
      </w:r>
      <w:r>
        <w:br/>
      </w:r>
    </w:p>
    <w:p>
      <w:pPr>
        <w:pStyle w:val="BodyText"/>
      </w:pPr>
      <w:r>
        <w:t xml:space="preserve">Enfin, au</w:t>
      </w:r>
      <w:r>
        <w:t xml:space="preserve"> </w:t>
      </w:r>
      <w:r>
        <w:rPr>
          <w:bCs/>
          <w:b/>
        </w:rPr>
        <w:t xml:space="preserve">chapitre</w:t>
      </w:r>
      <w:r>
        <w:rPr>
          <w:bCs/>
          <w:b/>
        </w:rPr>
        <w:t xml:space="preserve"> </w:t>
      </w:r>
      <w:r>
        <w:rPr>
          <w:bCs/>
          <w:b/>
        </w:rPr>
        <w:t xml:space="preserve">4.3.0.2</w:t>
      </w:r>
      <w:r>
        <w:t xml:space="preserve"> </w:t>
      </w:r>
      <w:r>
        <w:t xml:space="preserve">(</w:t>
      </w:r>
      <w:r>
        <w:rPr>
          <w:iCs/>
          <w:i/>
          <w:bCs/>
          <w:b/>
        </w:rPr>
        <w:t xml:space="preserve">Discussion générale</w:t>
      </w:r>
      <w:r>
        <w:t xml:space="preserve">), nous discutons l’ensemble des résultats. En particulier, nous élaborons sur la portée opérationnelle des travaux de recherche en matière de gestion de la lutte anti-vectorielle et des résistances des vecteurs aux insecticides. Nous proposons certaines stratégies de gestion du risque de transmission résiduelle du paludisme sur nos deux zones d’étude.</w:t>
      </w:r>
    </w:p>
    <w:bookmarkEnd w:id="104"/>
    <w:bookmarkEnd w:id="105"/>
    <w:bookmarkEnd w:id="106"/>
    <w:bookmarkStart w:id="140" w:name="data-mining"/>
    <w:p>
      <w:pPr>
        <w:pStyle w:val="Heading1"/>
      </w:pPr>
      <w:r>
        <w:t xml:space="preserve">Contexte méthodologique : Étude des systèmes complexes et modélisation statistique</w:t>
      </w:r>
    </w:p>
    <w:p>
      <w:pPr>
        <w:pStyle w:val="FirstParagraph"/>
      </w:pPr>
      <w:r>
        <w:t xml:space="preserve">L’enjeu des principales études de cette thèse (chapitres</w:t>
      </w:r>
      <w:r>
        <w:t xml:space="preserve"> </w:t>
      </w:r>
      <w:r>
        <w:t xml:space="preserve">??</w:t>
      </w:r>
      <w:r>
        <w:t xml:space="preserve"> </w:t>
      </w:r>
      <w:r>
        <w:t xml:space="preserve">et</w:t>
      </w:r>
      <w:r>
        <w:t xml:space="preserve"> </w:t>
      </w:r>
      <w:r>
        <w:t xml:space="preserve">??</w:t>
      </w:r>
      <w:r>
        <w:t xml:space="preserve">) est d’approfondir les connaissances sur certains traits bio-écologiques, comportementaux ou physiologiques des vecteurs du paludisme. A cette fin, nous utiliserons une forme particulière d’étude des systèmes complexes, nommée</w:t>
      </w:r>
      <w:r>
        <w:t xml:space="preserve"> </w:t>
      </w:r>
      <w:r>
        <w:t xml:space="preserve">“</w:t>
      </w:r>
      <w:r>
        <w:t xml:space="preserve">hostistico-inductive</w:t>
      </w:r>
      <w:r>
        <w:t xml:space="preserve">”</w:t>
      </w:r>
      <w:r>
        <w:t xml:space="preserve">. L’approche holistico-inductive est différente, conceptuellement et pratiquement, de l’approche hypothético-déductive généralement mieux maitrisée des chercheurs.</w:t>
      </w:r>
      <w:r>
        <w:br/>
      </w:r>
    </w:p>
    <w:p>
      <w:pPr>
        <w:pStyle w:val="BodyText"/>
      </w:pPr>
      <w:r>
        <w:t xml:space="preserve">Qu’est ce que l’approche holistico-inductive, et en quoi diffère-t-elle de l’approche hypothético-déductive ? Quel rôle peut jouer la modélisation statistique dans ces différentes approches ? En quoi la modélisation statistique peut-elle servir les différents grands objectifs de la recherche scientifique : tester, améliorer, ou construire des théories scientifiques ? Ce chapitre apporte des éléments de réponse à ces questions. Son enjeu principal, dans le cadre strict de la thèse, est de préciser le raisonnement scientifique et les choix méthodologiques effectués dans les travaux à suivre. Au sens plus large, l’objectif est de montrer en quoi la modélisation statistique peut servir les différents grands objectifs de la recherche scientifique : tester, améliorer, ou - de part ses récents développements - construire des théories scientifiques.</w:t>
      </w:r>
    </w:p>
    <w:bookmarkStart w:id="115" w:name="studying-complex-systems"/>
    <w:p>
      <w:pPr>
        <w:pStyle w:val="Heading2"/>
      </w:pPr>
      <w:r>
        <w:t xml:space="preserve">Considérations épistémologiques sur l’étude des systèmes complexes</w:t>
      </w:r>
    </w:p>
    <w:bookmarkStart w:id="110" w:name="X5c0d02a3837a0ea7c57dc634143bc59af535ea2"/>
    <w:p>
      <w:pPr>
        <w:pStyle w:val="Heading3"/>
      </w:pPr>
      <w:r>
        <w:t xml:space="preserve">Les deux formes d’inférence logique (inductif et déductif)</w:t>
      </w:r>
    </w:p>
    <w:p>
      <w:pPr>
        <w:pStyle w:val="FirstParagraph"/>
      </w:pPr>
      <w:r>
        <w:t xml:space="preserve">L’objectif principal de la recherche scientifique est de faire avancer les connaissances en construisant et testant des hypothèses scientifiques. Les nouvelles hypothèses scientifiques sont construites à partir d’hypothèses existantes : ce processus s’appelle l’inférence logique. On reconnait deux formes principales d’inférence logique</w:t>
      </w:r>
      <w:r>
        <w:t xml:space="preserve"> </w:t>
      </w:r>
      <w:r>
        <w:t xml:space="preserve">(</w:t>
      </w:r>
      <w:hyperlink w:anchor="ref-johnson-laird_human_2013">
        <w:r>
          <w:rPr>
            <w:rStyle w:val="Hyperlink"/>
          </w:rPr>
          <w:t xml:space="preserve">Johnson-Laird, 2013</w:t>
        </w:r>
      </w:hyperlink>
      <w:r>
        <w:t xml:space="preserve">;</w:t>
      </w:r>
      <w:r>
        <w:t xml:space="preserve"> </w:t>
      </w:r>
      <w:hyperlink w:anchor="ref-kell_here_2004">
        <w:r>
          <w:rPr>
            <w:rStyle w:val="Hyperlink"/>
          </w:rPr>
          <w:t xml:space="preserve">Kell &amp; Oliver, 2004</w:t>
        </w:r>
      </w:hyperlink>
      <w:r>
        <w:t xml:space="preserve">)</w:t>
      </w:r>
      <w:r>
        <w:t xml:space="preserve"> </w:t>
      </w:r>
      <w:r>
        <w:t xml:space="preserve">: la déduction et l’induction.</w:t>
      </w:r>
      <w:r>
        <w:br/>
      </w:r>
    </w:p>
    <w:p>
      <w:pPr>
        <w:pStyle w:val="BodyText"/>
      </w:pPr>
      <w:r>
        <w:t xml:space="preserve">Le</w:t>
      </w:r>
      <w:r>
        <w:t xml:space="preserve"> </w:t>
      </w:r>
      <w:r>
        <w:rPr>
          <w:bCs/>
          <w:b/>
        </w:rPr>
        <w:t xml:space="preserve">raisonnement déductif</w:t>
      </w:r>
      <w:r>
        <w:t xml:space="preserve"> </w:t>
      </w:r>
      <w:r>
        <w:t xml:space="preserve">(ou</w:t>
      </w:r>
      <w:r>
        <w:t xml:space="preserve"> </w:t>
      </w:r>
      <w:r>
        <w:rPr>
          <w:iCs/>
          <w:i/>
        </w:rPr>
        <w:t xml:space="preserve">hypothesis-driven</w:t>
      </w:r>
      <w:r>
        <w:t xml:space="preserve"> </w:t>
      </w:r>
      <w:r>
        <w:t xml:space="preserve">(</w:t>
      </w:r>
      <w:hyperlink w:anchor="ref-kell_here_2004">
        <w:r>
          <w:rPr>
            <w:rStyle w:val="Hyperlink"/>
          </w:rPr>
          <w:t xml:space="preserve">Kell &amp; Oliver, 2004</w:t>
        </w:r>
      </w:hyperlink>
      <w:r>
        <w:t xml:space="preserve">)</w:t>
      </w:r>
      <w:r>
        <w:t xml:space="preserve">) confirme l’hypothèse par le cas. Dans cette forme de raisonnement, l’hypothèse (ou la théorie) est le point de départ. Les observations (ou données) sont utilisées pour la tester dans des situations particulières et ainsi la vérifier ou l’infirmer.</w:t>
      </w:r>
      <w:r>
        <w:br/>
      </w:r>
    </w:p>
    <w:p>
      <w:pPr>
        <w:pStyle w:val="BodyText"/>
      </w:pPr>
      <w:r>
        <w:t xml:space="preserve">Le</w:t>
      </w:r>
      <w:r>
        <w:t xml:space="preserve"> </w:t>
      </w:r>
      <w:r>
        <w:rPr>
          <w:bCs/>
          <w:b/>
        </w:rPr>
        <w:t xml:space="preserve">raisonnement inductif</w:t>
      </w:r>
      <w:r>
        <w:t xml:space="preserve"> </w:t>
      </w:r>
      <w:r>
        <w:t xml:space="preserve">(ou</w:t>
      </w:r>
      <w:r>
        <w:t xml:space="preserve"> </w:t>
      </w:r>
      <w:r>
        <w:rPr>
          <w:iCs/>
          <w:i/>
        </w:rPr>
        <w:t xml:space="preserve">data-driven</w:t>
      </w:r>
      <w:r>
        <w:t xml:space="preserve"> </w:t>
      </w:r>
      <w:r>
        <w:t xml:space="preserve">(</w:t>
      </w:r>
      <w:hyperlink w:anchor="ref-kell_here_2004">
        <w:r>
          <w:rPr>
            <w:rStyle w:val="Hyperlink"/>
          </w:rPr>
          <w:t xml:space="preserve">Kell &amp; Oliver, 2004</w:t>
        </w:r>
      </w:hyperlink>
      <w:r>
        <w:t xml:space="preserve">)</w:t>
      </w:r>
      <w:r>
        <w:t xml:space="preserve">), à l’inverse, part du cas pour générer l’hypothèse. Dans cette forme de raisonnement, l’observation (ou la donnée) est le point de départ. Ces données sont utilisées pour formuler des hypothèses, des théories, plus générales. Autrement dit, dans ce cas, les données servent à générer l’hypothèse, qui est donc l’objectif et le point final du raisonnement.</w:t>
      </w:r>
      <w:r>
        <w:br/>
      </w:r>
    </w:p>
    <w:p>
      <w:pPr>
        <w:pStyle w:val="BodyText"/>
      </w:pPr>
      <w:r>
        <w:rPr>
          <w:bCs/>
          <w:b/>
        </w:rPr>
        <w:t xml:space="preserve">Exemples de raisonnements déductif et inductif</w:t>
      </w:r>
      <w:r>
        <w:t xml:space="preserve"> </w:t>
      </w:r>
      <w:r>
        <w:t xml:space="preserve">(extrait de</w:t>
      </w:r>
      <w:r>
        <w:t xml:space="preserve"> </w:t>
      </w:r>
      <w:r>
        <w:t xml:space="preserve">Kell &amp; Oliver (</w:t>
      </w:r>
      <w:hyperlink w:anchor="ref-kell_here_2004">
        <w:r>
          <w:rPr>
            <w:rStyle w:val="Hyperlink"/>
          </w:rPr>
          <w:t xml:space="preserve">2004</w:t>
        </w:r>
      </w:hyperlink>
      <w:r>
        <w:t xml:space="preserve">)</w:t>
      </w:r>
      <w:r>
        <w:t xml:space="preserve">)</w:t>
      </w:r>
    </w:p>
    <w:p>
      <w:pPr>
        <w:pStyle w:val="BodyText"/>
      </w:pPr>
      <w:r>
        <w:t xml:space="preserve">Raisonnement déductif : Toutes les baleines sont bleues; Georges est une baleine, donc Georges est bleu.</w:t>
      </w:r>
      <w:r>
        <w:br/>
      </w:r>
    </w:p>
    <w:p>
      <w:pPr>
        <w:pStyle w:val="BodyText"/>
      </w:pPr>
      <w:r>
        <w:t xml:space="preserve">Raisonnement inductif : Georges est une baleine et est bleu; Anne est une baleine et est bleue; Percy est une baleine et est bleue; etc.; nous pouvons donc induire que l’idée (hypothèse) que toutes les baleines sont bleues.</w:t>
      </w:r>
    </w:p>
    <w:p>
      <w:pPr>
        <w:pStyle w:val="BodyText"/>
      </w:pPr>
      <w:r>
        <w:t xml:space="preserve">Ces deux formes de raisonnement, à priori complémentaires, s’alimentent et forment ainsi le cycle de la génération de connaissances (figure</w:t>
      </w:r>
      <w:r>
        <w:t xml:space="preserve"> </w:t>
      </w:r>
      <w:r>
        <w:t xml:space="preserve">18</w:t>
      </w:r>
      <w:r>
        <w:t xml:space="preserve">).</w:t>
      </w:r>
    </w:p>
    <w:p>
      <w:pPr>
        <w:pStyle w:val="CaptionedFigure"/>
      </w:pPr>
      <w:r>
        <w:drawing>
          <wp:inline>
            <wp:extent cx="4572000" cy="2413000"/>
            <wp:effectExtent b="0" l="0" r="0" t="0"/>
            <wp:docPr descr="Figure 18: Le cycle de la connaissance (Kell &amp; Oliver, 2004)" title="" id="108" name="Picture"/>
            <a:graphic>
              <a:graphicData uri="http://schemas.openxmlformats.org/drawingml/2006/picture">
                <pic:pic>
                  <pic:nvPicPr>
                    <pic:cNvPr descr="figure/cycle_knowledge.png" id="109" name="Picture"/>
                    <pic:cNvPicPr>
                      <a:picLocks noChangeArrowheads="1" noChangeAspect="1"/>
                    </pic:cNvPicPr>
                  </pic:nvPicPr>
                  <pic:blipFill>
                    <a:blip r:embed="rId107"/>
                    <a:stretch>
                      <a:fillRect/>
                    </a:stretch>
                  </pic:blipFill>
                  <pic:spPr bwMode="auto">
                    <a:xfrm>
                      <a:off x="0" y="0"/>
                      <a:ext cx="4572000" cy="2413000"/>
                    </a:xfrm>
                    <a:prstGeom prst="rect">
                      <a:avLst/>
                    </a:prstGeom>
                    <a:noFill/>
                    <a:ln w="9525">
                      <a:noFill/>
                      <a:headEnd/>
                      <a:tailEnd/>
                    </a:ln>
                  </pic:spPr>
                </pic:pic>
              </a:graphicData>
            </a:graphic>
          </wp:inline>
        </w:drawing>
      </w:r>
    </w:p>
    <w:p>
      <w:pPr>
        <w:pStyle w:val="ImageCaption"/>
      </w:pPr>
      <w:r>
        <w:t xml:space="preserve">Figure 18: Le cycle de la connaissance</w:t>
      </w:r>
      <w:r>
        <w:t xml:space="preserve"> </w:t>
      </w:r>
      <w:r>
        <w:t xml:space="preserve">(</w:t>
      </w:r>
      <w:hyperlink w:anchor="ref-kell_here_2004">
        <w:r>
          <w:rPr>
            <w:rStyle w:val="Hyperlink"/>
          </w:rPr>
          <w:t xml:space="preserve">Kell &amp; Oliver, 2004</w:t>
        </w:r>
      </w:hyperlink>
      <w:r>
        <w:t xml:space="preserve">)</w:t>
      </w:r>
    </w:p>
    <w:p>
      <w:pPr>
        <w:pStyle w:val="BodyText"/>
      </w:pPr>
      <w:r>
        <w:t xml:space="preserve">En particulier, elles tiennent chacun leur rôle dans l’étude des systèmes complexes.</w:t>
      </w:r>
      <w:r>
        <w:br/>
      </w:r>
    </w:p>
    <w:bookmarkEnd w:id="110"/>
    <w:bookmarkStart w:id="114" w:name="study-complex-systems"/>
    <w:p>
      <w:pPr>
        <w:pStyle w:val="Heading3"/>
      </w:pPr>
      <w:r>
        <w:t xml:space="preserve">Etudier les systèmes complexes : approches holistique et réductionniste</w:t>
      </w:r>
    </w:p>
    <w:p>
      <w:pPr>
        <w:pStyle w:val="FirstParagraph"/>
      </w:pPr>
      <w:r>
        <w:t xml:space="preserve">Un système complexe est un sytème composé de nombreux éléments qui peuvent intéragir les uns avec les autres. S’il n’existe à-priori pas de définition formelle largement acceptée du système complexe, ceux-ci sont définis, selon les cas et selon les auteurs, par l’existence d’effets et d’interactions non linéaires entre éléments du système, ou encore par l’existence de niveaux d’organisation différents</w:t>
      </w:r>
      <w:r>
        <w:t xml:space="preserve"> </w:t>
      </w:r>
      <w:r>
        <w:t xml:space="preserve">(</w:t>
      </w:r>
      <w:hyperlink w:anchor="ref-bar-yam_general_nodate">
        <w:r>
          <w:rPr>
            <w:rStyle w:val="Hyperlink"/>
          </w:rPr>
          <w:t xml:space="preserve">Bar-Yam, 2002</w:t>
        </w:r>
      </w:hyperlink>
      <w:r>
        <w:t xml:space="preserve">)</w:t>
      </w:r>
      <w:r>
        <w:t xml:space="preserve">. Ainsi, par exemple, nous pouvons qualifier le système {densités agressives des anophèles - environnement} de complexe (figure</w:t>
      </w:r>
      <w:r>
        <w:t xml:space="preserve"> </w:t>
      </w:r>
      <w:r>
        <w:t xml:space="preserve">9</w:t>
      </w:r>
      <w:r>
        <w:t xml:space="preserve">) : au sein de ce système, les effets de l’environnement sur le facteur étudié (la densités agressives des anophèles) peuvent être non-linéaires, de nombreuses interactions existent à priori</w:t>
      </w:r>
      <w:r>
        <w:t xml:space="preserve"> </w:t>
      </w:r>
      <w:r>
        <w:t xml:space="preserve">(</w:t>
      </w:r>
      <w:hyperlink w:anchor="ref-stresman_beyond_2010">
        <w:r>
          <w:rPr>
            <w:rStyle w:val="Hyperlink"/>
          </w:rPr>
          <w:t xml:space="preserve">Stresman, 2010</w:t>
        </w:r>
      </w:hyperlink>
      <w:r>
        <w:t xml:space="preserve">)</w:t>
      </w:r>
      <w:r>
        <w:t xml:space="preserve"> </w:t>
      </w:r>
      <w:r>
        <w:t xml:space="preserve">; l’ensemble provoquant un effet (les densités agressives) à priori difficilement prédictible. De manière générale, les sytèmes biologiques sont complexes</w:t>
      </w:r>
      <w:r>
        <w:t xml:space="preserve"> </w:t>
      </w:r>
      <w:r>
        <w:t xml:space="preserve">(</w:t>
      </w:r>
      <w:hyperlink w:anchor="ref-bar-yam_general_nodate">
        <w:r>
          <w:rPr>
            <w:rStyle w:val="Hyperlink"/>
          </w:rPr>
          <w:t xml:space="preserve">Bar-Yam, 2002</w:t>
        </w:r>
      </w:hyperlink>
      <w:r>
        <w:t xml:space="preserve">)</w:t>
      </w:r>
      <w:r>
        <w:t xml:space="preserve">.</w:t>
      </w:r>
      <w:r>
        <w:br/>
      </w:r>
    </w:p>
    <w:p>
      <w:pPr>
        <w:pStyle w:val="BodyText"/>
      </w:pPr>
      <w:r>
        <w:t xml:space="preserve">Deux stratégies au moins peuvent être envisagées pour étudier et tenter d’approfondir la compréhension d’un sytème complexe : l’approche réductionniste et l’approche holistique</w:t>
      </w:r>
      <w:r>
        <w:t xml:space="preserve"> </w:t>
      </w:r>
      <w:r>
        <w:t xml:space="preserve">(</w:t>
      </w:r>
      <w:hyperlink w:anchor="ref-amboise_projet_1996">
        <w:r>
          <w:rPr>
            <w:rStyle w:val="Hyperlink"/>
          </w:rPr>
          <w:t xml:space="preserve">Amboise &amp; Audet, 1996</w:t>
        </w:r>
      </w:hyperlink>
      <w:r>
        <w:t xml:space="preserve">;</w:t>
      </w:r>
      <w:r>
        <w:t xml:space="preserve"> </w:t>
      </w:r>
      <w:hyperlink w:anchor="ref-bar-yam_general_nodate">
        <w:r>
          <w:rPr>
            <w:rStyle w:val="Hyperlink"/>
          </w:rPr>
          <w:t xml:space="preserve">Bar-Yam, 2002</w:t>
        </w:r>
      </w:hyperlink>
      <w:r>
        <w:t xml:space="preserve">;</w:t>
      </w:r>
      <w:r>
        <w:t xml:space="preserve"> </w:t>
      </w:r>
      <w:hyperlink w:anchor="ref-kell_here_2004">
        <w:r>
          <w:rPr>
            <w:rStyle w:val="Hyperlink"/>
          </w:rPr>
          <w:t xml:space="preserve">Kell &amp; Oliver, 2004</w:t>
        </w:r>
      </w:hyperlink>
      <w:r>
        <w:t xml:space="preserve">)</w:t>
      </w:r>
      <w:r>
        <w:t xml:space="preserve">. Nous résumons ces approches dans les prochains paragraphes, en nous basant sur ces trois références bibliographiques.</w:t>
      </w:r>
      <w:r>
        <w:br/>
      </w:r>
    </w:p>
    <w:p>
      <w:pPr>
        <w:pStyle w:val="BodyText"/>
      </w:pPr>
      <w:r>
        <w:t xml:space="preserve">Dans l’approche réductionniste, le système complexe est considéré comme un ensemble de sous-sytèmes, moins complexes et ainsi plus simples à approcher, contenant un nombre réduit d’éléments, de relations et intéractions. La compréhension de chacun de ces différents sous-systèmes permet ensuite de reconstruire le système complexe initial physiquement ou intellectuellement. Dans cette approche, le système complexe est tout d’abord décomposé en sous-systèmes pertinents en se basant sur les connaissances à priori du système complexe ; puis pour chaque sous-système, un nombre restreint de variables le caractérisant est séléctionné - là aussi en se basant sur les connaissances</w:t>
      </w:r>
      <w:r>
        <w:t xml:space="preserve"> </w:t>
      </w:r>
      <w:r>
        <w:rPr>
          <w:iCs/>
          <w:i/>
        </w:rPr>
        <w:t xml:space="preserve">à priori</w:t>
      </w:r>
      <w:r>
        <w:t xml:space="preserve">. L’enjeu de l’étude est alors de vérifier si et comment ces variables parcimonieusement séléctionnées impactent le comportement du sous-sytème. L’approche réductionniste repose donc sur un certain niveau de connaissance à priori du système complexe : à la fois pour créer les sous-sytèmes et pour séléctionner des variables pour chacun d’entre eux. En ce sens, l’approche réductionniste de l’étude des systèmes complexes est associée au raisonnement hypothetico-déductif : les données servent à valider des hypothèses préalablement construites.</w:t>
      </w:r>
      <w:r>
        <w:br/>
      </w:r>
    </w:p>
    <w:p>
      <w:pPr>
        <w:pStyle w:val="BodyText"/>
      </w:pPr>
      <w:r>
        <w:t xml:space="preserve">L’approche holistique, à l’opposé, considère que la complexité théorique des relations et intéractions dans le système complexe implique qu’il faille étudier, chercher à décrire et comprendre, le système en entier, dans sa complexité. La première étape dans cette approche consiste à recueillir un maximum d’observations (données), ayant un impact plus ou moins lointainement soupçonné, sur le sytème étudié, quitte à en écarter certaines par la suite si elles ne s’avèrent pas utiles. Dans un second temps, les relations et intéractions entre ces observations sont décrites - en général à l’aide d’outils informatiques et statistiques au regard du volume d’observations - puis interprétées à la lumière des connaissances préalables existantes. Cette démarche, reposant donc principalement sur les données, peut permettre d’améliorer, raffiner, ou faire émerger de nouvelles hypothèses scientifiques sur le fonctionnement du système complexe. En ce sens, l’approche holistique de l’étude des systèmes complexes est associée au raisonnement inductif : les données sont la source de l’hypothèse. On parle ainsi d’approche holistico-inductive.</w:t>
      </w:r>
      <w:r>
        <w:br/>
      </w:r>
    </w:p>
    <w:p>
      <w:pPr>
        <w:pStyle w:val="BodyText"/>
      </w:pPr>
      <w:r>
        <w:br/>
      </w:r>
    </w:p>
    <w:p>
      <w:pPr>
        <w:pStyle w:val="BodyText"/>
      </w:pPr>
      <w:r>
        <w:t xml:space="preserve">Exemple de questionnements de recherche et approches associées, en lien avec la thèse</w:t>
      </w:r>
    </w:p>
    <w:p>
      <w:pPr>
        <w:pStyle w:val="BodyText"/>
      </w:pPr>
      <w:r>
        <w:t xml:space="preserve">Répondre à la question</w:t>
      </w:r>
      <w:r>
        <w:t xml:space="preserve"> </w:t>
      </w:r>
      <w:r>
        <w:rPr>
          <w:iCs/>
          <w:i/>
        </w:rPr>
        <w:t xml:space="preserve">“</w:t>
      </w:r>
      <w:r>
        <w:rPr>
          <w:iCs/>
          <w:i/>
        </w:rPr>
        <w:t xml:space="preserve">Sur mon territoire d’étude, quel est l’impact de l’intéraction entre les précipitations et les températures sur les densités agressives des moustiques ?</w:t>
      </w:r>
      <w:r>
        <w:rPr>
          <w:iCs/>
          <w:i/>
        </w:rPr>
        <w:t xml:space="preserve">”</w:t>
      </w:r>
      <w:r>
        <w:t xml:space="preserve"> </w:t>
      </w:r>
      <w:r>
        <w:t xml:space="preserve">relève d’une approche réductionniste hypothetico-déductive. Parmi tous les déterminants potentiels des densités agressives, deux en particulier sont séléctionnés (températures et précipitations), que l’on sait impacter l’abondance. L’objectif de l’étude sera de quantifier précisement l’impact des précipitations, des températures, et de leur intéraction sur les densités agressives des moustiques.</w:t>
      </w:r>
      <w:r>
        <w:br/>
      </w:r>
    </w:p>
    <w:p>
      <w:pPr>
        <w:pStyle w:val="BodyText"/>
      </w:pPr>
      <w:r>
        <w:t xml:space="preserve">Répondre à la question</w:t>
      </w:r>
      <w:r>
        <w:t xml:space="preserve"> </w:t>
      </w:r>
      <w:r>
        <w:rPr>
          <w:iCs/>
          <w:i/>
        </w:rPr>
        <w:t xml:space="preserve">“</w:t>
      </w:r>
      <w:r>
        <w:rPr>
          <w:iCs/>
          <w:i/>
        </w:rPr>
        <w:t xml:space="preserve">Sur mon territoire d’étude, quels sont les déterminants des densités agressives des moustiques ?</w:t>
      </w:r>
      <w:r>
        <w:rPr>
          <w:iCs/>
          <w:i/>
        </w:rPr>
        <w:t xml:space="preserve">”</w:t>
      </w:r>
      <w:r>
        <w:t xml:space="preserve"> </w:t>
      </w:r>
      <w:r>
        <w:t xml:space="preserve">relève d’une approche holistico-inductive. L’objectif de l’étude sera de collecter un maximum d’observations sur l’ensemble des potentiels déterminants des densités agressives, puis d’analyser ces observations afin d’élaborer des hypothèses sur les facteurs des densités agressives (déterminants, effets, intéractions, etc.).</w:t>
      </w:r>
    </w:p>
    <w:p>
      <w:pPr>
        <w:pStyle w:val="BodyText"/>
      </w:pPr>
      <w:r>
        <w:br/>
      </w:r>
    </w:p>
    <w:p>
      <w:pPr>
        <w:pStyle w:val="BodyText"/>
      </w:pPr>
      <w:r>
        <w:t xml:space="preserve">L’approche hypothético-déductive réductionniste nécéssite donc un cadre établi, rigide : l’hypothèse de recherche, précise, est formellement énoncée puis vérifiée ou testée à l’aide d’expérimentations contrôlées et de méthodes statistiques rigoureuses. L’approche hostistico-inductive, de son côté, est de prime abord moins rigide : les hypothèses de recherche ne sont pas formellement énoncées (ou n’existent même pas nécéssairement), le nombre de variables est plus important, les méthodes d’analyse moins formelles, le tout afin de laisser place à la découverte potentielle d’informations intéressantes. L’enjeu de l’approche holistico-inductive n’est pas de produire des résultats généralisables mais de mieux comprendre un phénomène d’intérêt, en espérant que la connaissance du phénomène acquise au cours de la recherche permettra de raffiner et d’améliorer la théorie existante. L’approche holistico-inductive requiert donc beaucoup de données et peu d’hypothèses de départ. Le différentiel de rigidité au moment de l’établissement d’hypothèses préalables est regagné dans les étapes suivantes de l’analyse, qui nécéssitent rigueur, intégration du jugement subjectif et des connaissances humaines, afin d’interpréter les signaux (associations, etc.) révélés par l’analyse. En ce sens, ses défenseurs la considèrent comme une approche plus ouverte mais tout aussi rigoureuse que l’approche hypothético-déductive.</w:t>
      </w:r>
      <w:r>
        <w:br/>
      </w:r>
    </w:p>
    <w:p>
      <w:pPr>
        <w:pStyle w:val="BodyText"/>
      </w:pPr>
      <w:r>
        <w:t xml:space="preserve">Ces deux approches de l’étude du système complexe, qui impliquent donc des démarches intrinsèquement différentes, sont pourtant complémentaires dans la compréhension des systèmes complexes. L’approche holistico-inductive est prône à soulever de nouvelles questions, ou hypothèses, potentiellement peu ou pas intuitionnées. La génération d’hypothèses est donc la fin du parcours. Ces nouvelles hypothèses pourront ensuite être testées expérimentalement, et validées, par raisonnement hypothético-déductif dans une approche réductionniste. Autrement dit, les approches hypothético-déductives (réductionnistes) et holistico-inductives sont itératives dans l’avancement des connaissances en général, et dans la compréhension des systèmes complexes en particulier (figure</w:t>
      </w:r>
      <w:r>
        <w:t xml:space="preserve"> </w:t>
      </w:r>
      <w:r>
        <w:t xml:space="preserve">19</w:t>
      </w:r>
      <w:r>
        <w:t xml:space="preserve">).</w:t>
      </w:r>
      <w:r>
        <w:br/>
      </w:r>
    </w:p>
    <w:p>
      <w:pPr>
        <w:pStyle w:val="CaptionedFigure"/>
      </w:pPr>
      <w:r>
        <w:drawing>
          <wp:inline>
            <wp:extent cx="5334000" cy="2388446"/>
            <wp:effectExtent b="0" l="0" r="0" t="0"/>
            <wp:docPr descr="Figure 19: Holisme et réductionnisme en tant que stratégies complémentaires et itératives pour comprendre les systèmes complexes (Kell &amp; Oliver, 2004)" title="" id="112" name="Picture"/>
            <a:graphic>
              <a:graphicData uri="http://schemas.openxmlformats.org/drawingml/2006/picture">
                <pic:pic>
                  <pic:nvPicPr>
                    <pic:cNvPr descr="figure/holism_reductionism.png" id="113" name="Picture"/>
                    <pic:cNvPicPr>
                      <a:picLocks noChangeArrowheads="1" noChangeAspect="1"/>
                    </pic:cNvPicPr>
                  </pic:nvPicPr>
                  <pic:blipFill>
                    <a:blip r:embed="rId111"/>
                    <a:stretch>
                      <a:fillRect/>
                    </a:stretch>
                  </pic:blipFill>
                  <pic:spPr bwMode="auto">
                    <a:xfrm>
                      <a:off x="0" y="0"/>
                      <a:ext cx="5334000" cy="2388446"/>
                    </a:xfrm>
                    <a:prstGeom prst="rect">
                      <a:avLst/>
                    </a:prstGeom>
                    <a:noFill/>
                    <a:ln w="9525">
                      <a:noFill/>
                      <a:headEnd/>
                      <a:tailEnd/>
                    </a:ln>
                  </pic:spPr>
                </pic:pic>
              </a:graphicData>
            </a:graphic>
          </wp:inline>
        </w:drawing>
      </w:r>
    </w:p>
    <w:p>
      <w:pPr>
        <w:pStyle w:val="ImageCaption"/>
      </w:pPr>
      <w:r>
        <w:t xml:space="preserve">Figure 19: Holisme et réductionnisme en tant que stratégies complémentaires et itératives pour comprendre les systèmes complexes</w:t>
      </w:r>
      <w:r>
        <w:t xml:space="preserve"> </w:t>
      </w:r>
      <w:r>
        <w:t xml:space="preserve">(</w:t>
      </w:r>
      <w:hyperlink w:anchor="ref-kell_here_2004">
        <w:r>
          <w:rPr>
            <w:rStyle w:val="Hyperlink"/>
          </w:rPr>
          <w:t xml:space="preserve">Kell &amp; Oliver, 2004</w:t>
        </w:r>
      </w:hyperlink>
      <w:r>
        <w:t xml:space="preserve">)</w:t>
      </w:r>
    </w:p>
    <w:p>
      <w:pPr>
        <w:pStyle w:val="BodyText"/>
      </w:pPr>
      <w:r>
        <w:t xml:space="preserve">Bien que ces approches soient donc à priori complémentaires, plusieurs auteurs constatent que les approches inductive en général, et holistico-inductive en particulier, sont aujourd’hui moins utilisées dans la recherche scientifique que les approches hypothético-déductives et réductionnistes</w:t>
      </w:r>
      <w:r>
        <w:t xml:space="preserve"> </w:t>
      </w:r>
      <w:r>
        <w:t xml:space="preserve">(</w:t>
      </w:r>
      <w:hyperlink w:anchor="ref-amboise_projet_1996">
        <w:r>
          <w:rPr>
            <w:rStyle w:val="Hyperlink"/>
          </w:rPr>
          <w:t xml:space="preserve">Amboise &amp; Audet, 1996</w:t>
        </w:r>
      </w:hyperlink>
      <w:r>
        <w:t xml:space="preserve">;</w:t>
      </w:r>
      <w:r>
        <w:t xml:space="preserve"> </w:t>
      </w:r>
      <w:hyperlink w:anchor="ref-bar-yam_general_nodate">
        <w:r>
          <w:rPr>
            <w:rStyle w:val="Hyperlink"/>
          </w:rPr>
          <w:t xml:space="preserve">Bar-Yam, 2002</w:t>
        </w:r>
      </w:hyperlink>
      <w:r>
        <w:t xml:space="preserve">;</w:t>
      </w:r>
      <w:r>
        <w:t xml:space="preserve"> </w:t>
      </w:r>
      <w:hyperlink w:anchor="ref-kell_here_2004">
        <w:r>
          <w:rPr>
            <w:rStyle w:val="Hyperlink"/>
          </w:rPr>
          <w:t xml:space="preserve">Kell &amp; Oliver, 2004</w:t>
        </w:r>
      </w:hyperlink>
      <w:r>
        <w:t xml:space="preserve">;</w:t>
      </w:r>
      <w:r>
        <w:t xml:space="preserve"> </w:t>
      </w:r>
      <w:hyperlink w:anchor="ref-shmueli_predictive_2010">
        <w:r>
          <w:rPr>
            <w:rStyle w:val="Hyperlink"/>
          </w:rPr>
          <w:t xml:space="preserve">Shmueli &amp; Koppius, 2010</w:t>
        </w:r>
      </w:hyperlink>
      <w:r>
        <w:t xml:space="preserve">;</w:t>
      </w:r>
      <w:r>
        <w:t xml:space="preserve"> </w:t>
      </w:r>
      <w:hyperlink w:anchor="ref-yanai_night_2019">
        <w:r>
          <w:rPr>
            <w:rStyle w:val="Hyperlink"/>
          </w:rPr>
          <w:t xml:space="preserve">Yanai &amp; Lercher, 2019</w:t>
        </w:r>
      </w:hyperlink>
      <w:r>
        <w:t xml:space="preserve">)</w:t>
      </w:r>
      <w:r>
        <w:t xml:space="preserve">. L’approche hypothético-déductive est considérée dans certains milieux comme la seule méthode valable et fiable pour faire avancer les connaissances. Ainsi, par exemple, les rejets de projets ou idées scientifiques avec pour justification qu’ils</w:t>
      </w:r>
      <w:r>
        <w:t xml:space="preserve"> </w:t>
      </w:r>
      <w:r>
        <w:t xml:space="preserve">“</w:t>
      </w:r>
      <w:r>
        <w:t xml:space="preserve">n’ont pas d’hypothèse testée</w:t>
      </w:r>
      <w:r>
        <w:t xml:space="preserve">”</w:t>
      </w:r>
      <w:r>
        <w:t xml:space="preserve">, ou qu’ils consistent en des</w:t>
      </w:r>
      <w:r>
        <w:t xml:space="preserve"> </w:t>
      </w:r>
      <w:r>
        <w:t xml:space="preserve">“</w:t>
      </w:r>
      <w:r>
        <w:t xml:space="preserve">fishing expeditions</w:t>
      </w:r>
      <w:r>
        <w:t xml:space="preserve">”</w:t>
      </w:r>
      <w:r>
        <w:t xml:space="preserve">, sont fréquents : à l’extrême :</w:t>
      </w:r>
      <w:r>
        <w:t xml:space="preserve"> </w:t>
      </w:r>
      <w:r>
        <w:t xml:space="preserve">“</w:t>
      </w:r>
      <w:r>
        <w:t xml:space="preserve">s’il n’y a pas d’hypothèse, ce n’est pas de la science</w:t>
      </w:r>
      <w:r>
        <w:t xml:space="preserve">”</w:t>
      </w:r>
      <w:r>
        <w:t xml:space="preserve"> </w:t>
      </w:r>
      <w:r>
        <w:t xml:space="preserve">(</w:t>
      </w:r>
      <w:hyperlink w:anchor="ref-kell_here_2004">
        <w:r>
          <w:rPr>
            <w:rStyle w:val="Hyperlink"/>
          </w:rPr>
          <w:t xml:space="preserve">Kell &amp; Oliver, 2004</w:t>
        </w:r>
      </w:hyperlink>
      <w:r>
        <w:t xml:space="preserve">;</w:t>
      </w:r>
      <w:r>
        <w:t xml:space="preserve"> </w:t>
      </w:r>
      <w:hyperlink w:anchor="ref-yanai_night_2019">
        <w:r>
          <w:rPr>
            <w:rStyle w:val="Hyperlink"/>
          </w:rPr>
          <w:t xml:space="preserve">Yanai &amp; Lercher, 2019</w:t>
        </w:r>
      </w:hyperlink>
      <w:r>
        <w:t xml:space="preserve">)</w:t>
      </w:r>
      <w:r>
        <w:t xml:space="preserve">. Cette préférence de la déduction sur l’induction est probablement liée à une forme de sécurité psychologique inhérente à l’approche déductive</w:t>
      </w:r>
      <w:r>
        <w:t xml:space="preserve"> </w:t>
      </w:r>
      <w:r>
        <w:t xml:space="preserve">(</w:t>
      </w:r>
      <w:hyperlink w:anchor="ref-kell_here_2004">
        <w:r>
          <w:rPr>
            <w:rStyle w:val="Hyperlink"/>
          </w:rPr>
          <w:t xml:space="preserve">Kell &amp; Oliver, 2004</w:t>
        </w:r>
      </w:hyperlink>
      <w:r>
        <w:t xml:space="preserve">)</w:t>
      </w:r>
      <w:r>
        <w:t xml:space="preserve"> </w:t>
      </w:r>
      <w:r>
        <w:t xml:space="preserve">(si l’axiome et l’observation sont correctes, l’inférence logique doit être correcte) et à son cadre en apparence plus rigoureux, logique, formel</w:t>
      </w:r>
      <w:r>
        <w:t xml:space="preserve"> </w:t>
      </w:r>
      <w:r>
        <w:t xml:space="preserve">(</w:t>
      </w:r>
      <w:hyperlink w:anchor="ref-amboise_projet_1996">
        <w:r>
          <w:rPr>
            <w:rStyle w:val="Hyperlink"/>
          </w:rPr>
          <w:t xml:space="preserve">Amboise &amp; Audet, 1996</w:t>
        </w:r>
      </w:hyperlink>
      <w:r>
        <w:t xml:space="preserve">)</w:t>
      </w:r>
      <w:r>
        <w:t xml:space="preserve">. Par ailleurs, nous hypothétisons ici que la déféction pour l’approche holistico-inductive pourrait venir - en sus de son caractère inductif - d’un déficit de maitrise de certains outils nécéssaires à la conduite de cette approche : l’analyse de données en général et les statistiques, mathématiques, informatique en particulier.</w:t>
      </w:r>
      <w:r>
        <w:br/>
      </w:r>
    </w:p>
    <w:p>
      <w:pPr>
        <w:pStyle w:val="BodyText"/>
      </w:pPr>
      <w:r>
        <w:br/>
      </w:r>
    </w:p>
    <w:p>
      <w:pPr>
        <w:pStyle w:val="BodyText"/>
      </w:pPr>
      <w:r>
        <w:t xml:space="preserve">Quoi qu’il en soit, ces paragraphes ont montré que l’analyse des données est au coeur de la génération et validation d’hypothèses en général et de l’étude des systèmes complexes en particulier, quelle que soit l’approche. La modélisation statistique est un puissant outil d’analyse de données, capable de servir les approches hypothético-déductive maus aussi, de part ses développement récents, l’approche holistico-inductive - en faisant donc un outil essentiel du chercheur.</w:t>
      </w:r>
    </w:p>
    <w:bookmarkEnd w:id="114"/>
    <w:bookmarkEnd w:id="115"/>
    <w:bookmarkStart w:id="138" w:name="statistical-modeling"/>
    <w:p>
      <w:pPr>
        <w:pStyle w:val="Heading2"/>
      </w:pPr>
      <w:r>
        <w:t xml:space="preserve">Les enjeux scientifiques de la modélisation statistique</w:t>
      </w:r>
    </w:p>
    <w:bookmarkStart w:id="119" w:name="X416fe4f14e5f95be4a5405766f73b5fa85ae639"/>
    <w:p>
      <w:pPr>
        <w:pStyle w:val="Heading3"/>
      </w:pPr>
      <w:r>
        <w:t xml:space="preserve">Formalisation mathématique du modèle statistique</w:t>
      </w:r>
    </w:p>
    <w:p>
      <w:pPr>
        <w:pStyle w:val="FirstParagraph"/>
      </w:pPr>
      <w:r>
        <w:t xml:space="preserve">L’approche déterministe de la science, défendue entre autre par Karl Popper</w:t>
      </w:r>
      <w:r>
        <w:t xml:space="preserve"> </w:t>
      </w:r>
      <w:r>
        <w:t xml:space="preserve">(</w:t>
      </w:r>
      <w:hyperlink w:anchor="ref-arnaud_karl_1986">
        <w:r>
          <w:rPr>
            <w:rStyle w:val="Hyperlink"/>
          </w:rPr>
          <w:t xml:space="preserve">Arnaud, 1986</w:t>
        </w:r>
      </w:hyperlink>
      <w:r>
        <w:t xml:space="preserve">)</w:t>
      </w:r>
      <w:r>
        <w:t xml:space="preserve">, veut que la structure du monde est telle que tout</w:t>
      </w:r>
      <w:r>
        <w:t xml:space="preserve"> </w:t>
      </w:r>
      <w:r>
        <w:rPr>
          <w:iCs/>
          <w:i/>
        </w:rPr>
        <w:t xml:space="preserve">évènement qui se produit</w:t>
      </w:r>
      <w:r>
        <w:t xml:space="preserve"> </w:t>
      </w:r>
      <w:r>
        <w:t xml:space="preserve">est déterminé par les</w:t>
      </w:r>
      <w:r>
        <w:t xml:space="preserve"> </w:t>
      </w:r>
      <w:r>
        <w:rPr>
          <w:iCs/>
          <w:i/>
        </w:rPr>
        <w:t xml:space="preserve">événements passés</w:t>
      </w:r>
      <w:r>
        <w:t xml:space="preserve"> </w:t>
      </w:r>
      <w:r>
        <w:t xml:space="preserve">conformément aux</w:t>
      </w:r>
      <w:r>
        <w:t xml:space="preserve"> </w:t>
      </w:r>
      <w:r>
        <w:rPr>
          <w:iCs/>
          <w:i/>
        </w:rPr>
        <w:t xml:space="preserve">lois de la nature</w:t>
      </w:r>
      <w:r>
        <w:t xml:space="preserve">. Graphiquement et mathématiquement, cette approche peut être présentée par la figure</w:t>
      </w:r>
      <w:r>
        <w:t xml:space="preserve"> </w:t>
      </w:r>
      <w:r>
        <w:t xml:space="preserve">20</w:t>
      </w:r>
      <w:r>
        <w:t xml:space="preserve"> </w:t>
      </w:r>
      <w:r>
        <w:t xml:space="preserve">et l’équation</w:t>
      </w:r>
      <w:r>
        <w:t xml:space="preserve"> </w:t>
      </w:r>
      <w:r>
        <w:rPr>
          <w:iCs/>
          <w:i/>
        </w:rPr>
        <w:t xml:space="preserve">(1)</w:t>
      </w:r>
      <w:r>
        <w:t xml:space="preserve"> </w:t>
      </w:r>
      <w:r>
        <w:t xml:space="preserve">ci-dessous :</w:t>
      </w:r>
    </w:p>
    <w:p>
      <w:pPr>
        <w:pStyle w:val="CaptionedFigure"/>
      </w:pPr>
      <w:r>
        <w:drawing>
          <wp:inline>
            <wp:extent cx="3810000" cy="2540000"/>
            <wp:effectExtent b="0" l="0" r="0" t="0"/>
            <wp:docPr descr="Figure 20: Illustration de l’approche déterministe de la science (adapté de (Breiman, 2001b))" title="" id="117" name="Picture"/>
            <a:graphic>
              <a:graphicData uri="http://schemas.openxmlformats.org/drawingml/2006/picture">
                <pic:pic>
                  <pic:nvPicPr>
                    <pic:cNvPr descr="figure/x_nature_y.pdf" id="118" name="Picture"/>
                    <pic:cNvPicPr>
                      <a:picLocks noChangeArrowheads="1" noChangeAspect="1"/>
                    </pic:cNvPicPr>
                  </pic:nvPicPr>
                  <pic:blipFill>
                    <a:blip r:embed="rId1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20: Illustration de l’approche déterministe de la science (adapté de</w:t>
      </w:r>
      <w:r>
        <w:t xml:space="preserve"> </w:t>
      </w:r>
      <w:r>
        <w:t xml:space="preserve">(</w:t>
      </w:r>
      <w:hyperlink w:anchor="ref-breiman_statistical_2001">
        <w:r>
          <w:rPr>
            <w:rStyle w:val="Hyperlink"/>
          </w:rPr>
          <w:t xml:space="preserve">Breiman, 2001b</w:t>
        </w:r>
      </w:hyperlink>
      <w:r>
        <w:t xml:space="preserve">)</w:t>
      </w:r>
      <w:r>
        <w:t xml:space="preserve">)</w:t>
      </w:r>
    </w:p>
    <w:p>
      <w:pPr>
        <w:pStyle w:val="BodyText"/>
      </w:pPr>
      <w:r>
        <w:t xml:space="preserve">où :</w:t>
      </w:r>
    </w:p>
    <w:p>
      <w:pPr>
        <w:numPr>
          <w:ilvl w:val="0"/>
          <w:numId w:val="1014"/>
        </w:numPr>
        <w:pStyle w:val="Compact"/>
      </w:pPr>
      <w:r>
        <w:t xml:space="preserve">Y est l’évènement qui se produit,</w:t>
      </w:r>
    </w:p>
    <w:p>
      <w:pPr>
        <w:numPr>
          <w:ilvl w:val="0"/>
          <w:numId w:val="1014"/>
        </w:numPr>
        <w:pStyle w:val="Compact"/>
      </w:pPr>
      <m:oMath>
        <m:r>
          <m:t>X</m:t>
        </m:r>
      </m:oMath>
      <w:r>
        <w:t xml:space="preserve"> </w:t>
      </w:r>
      <w:r>
        <w:t xml:space="preserve">est l’ensemble des évènements passés causant Y,</w:t>
      </w:r>
    </w:p>
    <w:p>
      <w:pPr>
        <w:numPr>
          <w:ilvl w:val="0"/>
          <w:numId w:val="1014"/>
        </w:numPr>
        <w:pStyle w:val="Compact"/>
      </w:pPr>
      <m:oMath>
        <m:r>
          <m:t>F</m:t>
        </m:r>
      </m:oMath>
      <w:r>
        <w:t xml:space="preserve"> </w:t>
      </w:r>
      <w:r>
        <w:t xml:space="preserve">est la loi de la nature (aussi appelé modèle causal théorique) reliant</w:t>
      </w:r>
      <w:r>
        <w:t xml:space="preserve"> </w:t>
      </w:r>
      <m:oMath>
        <m:r>
          <m:t>X</m:t>
        </m:r>
      </m:oMath>
      <w:r>
        <w:t xml:space="preserve"> </w:t>
      </w:r>
      <w:r>
        <w:t xml:space="preserve">à Y.</w:t>
      </w:r>
      <w:r>
        <w:br/>
      </w:r>
    </w:p>
    <w:p>
      <w:pPr>
        <w:pStyle w:val="FirstParagraph"/>
      </w:pPr>
      <w:r>
        <w:t xml:space="preserve">La modélisation statistique est un outil permettant d’approximer et de formaliser mathématiquement cette réalité. Dans un modèle statistique, une ou plusieurs variables dite(s)</w:t>
      </w:r>
      <w:r>
        <w:t xml:space="preserve"> </w:t>
      </w:r>
      <w:r>
        <w:t xml:space="preserve">‘</w:t>
      </w:r>
      <w:r>
        <w:t xml:space="preserve">indépendante(s)</w:t>
      </w:r>
      <w:r>
        <w:t xml:space="preserve">’</w:t>
      </w:r>
      <w:r>
        <w:t xml:space="preserve">, notées</w:t>
      </w:r>
      <w:r>
        <w:t xml:space="preserve"> </w:t>
      </w:r>
      <m:oMath>
        <m:r>
          <m:t>x</m:t>
        </m:r>
      </m:oMath>
      <w:r>
        <w:t xml:space="preserve"> </w:t>
      </w:r>
      <w:r>
        <w:t xml:space="preserve">et approximant X, sont associées à une autre variable dite</w:t>
      </w:r>
      <w:r>
        <w:t xml:space="preserve"> </w:t>
      </w:r>
      <w:r>
        <w:t xml:space="preserve">‘</w:t>
      </w:r>
      <w:r>
        <w:t xml:space="preserve">dépendante</w:t>
      </w:r>
      <w:r>
        <w:t xml:space="preserve">’</w:t>
      </w:r>
      <w:r>
        <w:t xml:space="preserve">, notée y et approximant Y, via une fonction (le modèle statistique) notée</w:t>
      </w:r>
      <w:r>
        <w:t xml:space="preserve"> </w:t>
      </w:r>
      <m:oMath>
        <m:r>
          <m:t>f</m:t>
        </m:r>
      </m:oMath>
      <w:r>
        <w:t xml:space="preserve">. Mathématiquement, cela se traduit par l’équation suivante</w:t>
      </w:r>
      <w:r>
        <w:t xml:space="preserve"> </w:t>
      </w:r>
      <w:r>
        <w:rPr>
          <w:iCs/>
          <w:i/>
        </w:rPr>
        <w:t xml:space="preserve">(2)</w:t>
      </w:r>
      <w:r>
        <w:t xml:space="preserve"> </w:t>
      </w:r>
      <w:r>
        <w:t xml:space="preserve">:</w:t>
      </w:r>
      <w:r>
        <w:br/>
      </w:r>
    </w:p>
    <w:p>
      <w:pPr>
        <w:pStyle w:val="BodyText"/>
      </w:pPr>
      <w:r>
        <w:br/>
      </w:r>
    </w:p>
    <w:p>
      <w:pPr>
        <w:pStyle w:val="BodyText"/>
      </w:pPr>
      <w:r>
        <w:t xml:space="preserve">où :</w:t>
      </w:r>
    </w:p>
    <w:p>
      <w:pPr>
        <w:numPr>
          <w:ilvl w:val="0"/>
          <w:numId w:val="1015"/>
        </w:numPr>
        <w:pStyle w:val="Compact"/>
      </w:pPr>
      <w:r>
        <w:t xml:space="preserve">y est la variable dépendante, pendant de Y dans</w:t>
      </w:r>
      <w:r>
        <w:t xml:space="preserve"> </w:t>
      </w:r>
      <w:r>
        <w:rPr>
          <w:iCs/>
          <w:i/>
        </w:rPr>
        <w:t xml:space="preserve">(1)</w:t>
      </w:r>
      <w:r>
        <w:t xml:space="preserve">,</w:t>
      </w:r>
    </w:p>
    <w:p>
      <w:pPr>
        <w:numPr>
          <w:ilvl w:val="0"/>
          <w:numId w:val="1015"/>
        </w:numPr>
        <w:pStyle w:val="Compact"/>
      </w:pPr>
      <m:oMath>
        <m:r>
          <m:t>x</m:t>
        </m:r>
      </m:oMath>
      <w:r>
        <w:t xml:space="preserve"> </w:t>
      </w:r>
      <w:r>
        <w:t xml:space="preserve">est une ou plusieurs variables indépendante(s), pendant de X dans</w:t>
      </w:r>
      <w:r>
        <w:t xml:space="preserve"> </w:t>
      </w:r>
      <w:r>
        <w:rPr>
          <w:iCs/>
          <w:i/>
        </w:rPr>
        <w:t xml:space="preserve">(1)</w:t>
      </w:r>
      <w:r>
        <w:t xml:space="preserve">,</w:t>
      </w:r>
    </w:p>
    <w:p>
      <w:pPr>
        <w:numPr>
          <w:ilvl w:val="0"/>
          <w:numId w:val="1015"/>
        </w:numPr>
        <w:pStyle w:val="Compact"/>
      </w:pPr>
      <m:oMath>
        <m:r>
          <m:t>f</m:t>
        </m:r>
      </m:oMath>
      <w:r>
        <w:t xml:space="preserve"> </w:t>
      </w:r>
      <w:r>
        <w:t xml:space="preserve">est le modèle statistique associant y et</w:t>
      </w:r>
      <w:r>
        <w:t xml:space="preserve"> </w:t>
      </w:r>
      <m:oMath>
        <m:r>
          <m:t>x</m:t>
        </m:r>
      </m:oMath>
      <w:r>
        <w:t xml:space="preserve">, pendant de F dans</w:t>
      </w:r>
      <w:r>
        <w:t xml:space="preserve"> </w:t>
      </w:r>
      <w:r>
        <w:rPr>
          <w:iCs/>
          <w:i/>
        </w:rPr>
        <w:t xml:space="preserve">(1)</w:t>
      </w:r>
      <w:r>
        <w:t xml:space="preserve">,</w:t>
      </w:r>
    </w:p>
    <w:p>
      <w:pPr>
        <w:numPr>
          <w:ilvl w:val="0"/>
          <w:numId w:val="1015"/>
        </w:numPr>
        <w:pStyle w:val="Compact"/>
      </w:pPr>
      <m:oMath>
        <m:r>
          <m:t>ϵ</m:t>
        </m:r>
      </m:oMath>
      <w:r>
        <w:t xml:space="preserve"> </w:t>
      </w:r>
      <w:r>
        <w:t xml:space="preserve">est un terme d’erreur regroupant la part non expliquée de y, puisque</w:t>
      </w:r>
      <w:r>
        <w:t xml:space="preserve"> </w:t>
      </w:r>
      <m:oMath>
        <m:r>
          <m:t>f</m:t>
        </m:r>
      </m:oMath>
      <w:r>
        <w:t xml:space="preserve"> </w:t>
      </w:r>
      <w:r>
        <w:t xml:space="preserve">ne fait qu’approximer</w:t>
      </w:r>
      <w:r>
        <w:t xml:space="preserve"> </w:t>
      </w:r>
      <m:oMath>
        <m:r>
          <m:t>F</m:t>
        </m:r>
      </m:oMath>
    </w:p>
    <w:p>
      <w:pPr>
        <w:pStyle w:val="FirstParagraph"/>
      </w:pPr>
      <w:r>
        <w:br/>
      </w:r>
    </w:p>
    <w:p>
      <w:pPr>
        <w:pStyle w:val="BodyText"/>
      </w:pPr>
      <w:r>
        <w:t xml:space="preserve">Approximer et formaliser mathématiquement la réalité - cad. faire usage de la modélisation statistique - peut servir trois enjeux liés à</w:t>
      </w:r>
      <w:r>
        <w:t xml:space="preserve"> </w:t>
      </w:r>
      <w:r>
        <w:rPr>
          <w:iCs/>
          <w:i/>
        </w:rPr>
        <w:t xml:space="preserve">(1)</w:t>
      </w:r>
      <w:r>
        <w:t xml:space="preserve"> </w:t>
      </w:r>
      <w:r>
        <w:t xml:space="preserve">: i) expliquer (tester) une loi de la nature</w:t>
      </w:r>
      <w:r>
        <w:t xml:space="preserve"> </w:t>
      </w:r>
      <m:oMath>
        <m:r>
          <m:t>F</m:t>
        </m:r>
      </m:oMath>
      <w:r>
        <w:t xml:space="preserve">, ii) décrire une loi de la nature</w:t>
      </w:r>
      <w:r>
        <w:t xml:space="preserve"> </w:t>
      </w:r>
      <m:oMath>
        <m:r>
          <m:t>F</m:t>
        </m:r>
      </m:oMath>
      <w:r>
        <w:t xml:space="preserve">, iii) prédire un évènement Y</w:t>
      </w:r>
      <w:r>
        <w:t xml:space="preserve"> </w:t>
      </w:r>
      <w:r>
        <w:t xml:space="preserve">(</w:t>
      </w:r>
      <w:hyperlink w:anchor="ref-fayyad_data_nodate">
        <w:r>
          <w:rPr>
            <w:rStyle w:val="Hyperlink"/>
          </w:rPr>
          <w:t xml:space="preserve">Fayyad, Piatetsky-Shapiro, &amp; Smyth, 1996</w:t>
        </w:r>
      </w:hyperlink>
      <w:r>
        <w:t xml:space="preserve">;</w:t>
      </w:r>
      <w:r>
        <w:t xml:space="preserve"> </w:t>
      </w:r>
      <w:hyperlink w:anchor="ref-karpatne_theory-guided_2017">
        <w:r>
          <w:rPr>
            <w:rStyle w:val="Hyperlink"/>
          </w:rPr>
          <w:t xml:space="preserve">Karpatne et al., 2017</w:t>
        </w:r>
      </w:hyperlink>
      <w:r>
        <w:t xml:space="preserve">;</w:t>
      </w:r>
      <w:r>
        <w:t xml:space="preserve"> </w:t>
      </w:r>
      <w:hyperlink w:anchor="ref-shmueli_explain_2010">
        <w:r>
          <w:rPr>
            <w:rStyle w:val="Hyperlink"/>
          </w:rPr>
          <w:t xml:space="preserve">Shmueli, 2010</w:t>
        </w:r>
      </w:hyperlink>
      <w:r>
        <w:t xml:space="preserve">;</w:t>
      </w:r>
      <w:r>
        <w:t xml:space="preserve"> </w:t>
      </w:r>
      <w:hyperlink w:anchor="ref-shmueli_predictive_2010">
        <w:r>
          <w:rPr>
            <w:rStyle w:val="Hyperlink"/>
          </w:rPr>
          <w:t xml:space="preserve">Shmueli &amp; Koppius, 2010</w:t>
        </w:r>
      </w:hyperlink>
      <w:r>
        <w:t xml:space="preserve">)</w:t>
      </w:r>
      <w:r>
        <w:t xml:space="preserve">. En nous basant sur ces quatre références bibliographiques, nous résumons chacun de ces enjeux dans la prochaine section.</w:t>
      </w:r>
      <w:r>
        <w:br/>
      </w:r>
    </w:p>
    <w:bookmarkEnd w:id="119"/>
    <w:bookmarkStart w:id="124" w:name="Xe44bad1a63711ac9ab2ffc7735dc240327110bc"/>
    <w:p>
      <w:pPr>
        <w:pStyle w:val="Heading3"/>
      </w:pPr>
      <w:r>
        <w:t xml:space="preserve">Les trois enjeux de la modélisation statistique (expliquer, prédire, décrire)</w:t>
      </w:r>
    </w:p>
    <w:p>
      <w:pPr>
        <w:pStyle w:val="FirstParagraph"/>
      </w:pPr>
      <w:r>
        <w:rPr>
          <w:iCs/>
          <w:i/>
        </w:rPr>
        <w:t xml:space="preserve">Note : au préalable, définissons dès maintenant les termes</w:t>
      </w:r>
      <w:r>
        <w:rPr>
          <w:iCs/>
          <w:i/>
        </w:rPr>
        <w:t xml:space="preserve"> </w:t>
      </w:r>
      <w:r>
        <w:rPr>
          <w:iCs/>
          <w:i/>
        </w:rPr>
        <w:t xml:space="preserve">“</w:t>
      </w:r>
      <w:r>
        <w:rPr>
          <w:iCs/>
          <w:i/>
        </w:rPr>
        <w:t xml:space="preserve">modélisation statistique</w:t>
      </w:r>
      <w:r>
        <w:rPr>
          <w:iCs/>
          <w:i/>
        </w:rPr>
        <w:t xml:space="preserve">”</w:t>
      </w:r>
      <w:r>
        <w:rPr>
          <w:iCs/>
          <w:i/>
        </w:rPr>
        <w:t xml:space="preserve"> </w:t>
      </w:r>
      <w:r>
        <w:rPr>
          <w:iCs/>
          <w:i/>
        </w:rPr>
        <w:t xml:space="preserve">et</w:t>
      </w:r>
      <w:r>
        <w:rPr>
          <w:iCs/>
          <w:i/>
        </w:rPr>
        <w:t xml:space="preserve"> </w:t>
      </w:r>
      <w:r>
        <w:rPr>
          <w:iCs/>
          <w:i/>
        </w:rPr>
        <w:t xml:space="preserve">“</w:t>
      </w:r>
      <w:r>
        <w:rPr>
          <w:iCs/>
          <w:i/>
        </w:rPr>
        <w:t xml:space="preserve">fouille de données</w:t>
      </w:r>
      <w:r>
        <w:rPr>
          <w:iCs/>
          <w:i/>
        </w:rPr>
        <w:t xml:space="preserve">”</w:t>
      </w:r>
      <w:r>
        <w:rPr>
          <w:iCs/>
          <w:i/>
        </w:rPr>
        <w:t xml:space="preserve"> </w:t>
      </w:r>
      <w:r>
        <w:rPr>
          <w:iCs/>
          <w:i/>
        </w:rPr>
        <w:t xml:space="preserve">tel qu’il sont utilisés dans ce manuscrit. En effet, les définitions semblent varier selon les sources, au sein même de la famille des statisticiens. Nous définirons donc</w:t>
      </w:r>
      <w:r>
        <w:rPr>
          <w:iCs/>
          <w:i/>
        </w:rPr>
        <w:t xml:space="preserve"> </w:t>
      </w:r>
      <w:r>
        <w:rPr>
          <w:iCs/>
          <w:i/>
        </w:rPr>
        <w:t xml:space="preserve">“</w:t>
      </w:r>
      <w:r>
        <w:rPr>
          <w:iCs/>
          <w:i/>
        </w:rPr>
        <w:t xml:space="preserve">modélisation statistique</w:t>
      </w:r>
      <w:r>
        <w:rPr>
          <w:iCs/>
          <w:i/>
        </w:rPr>
        <w:t xml:space="preserve">”</w:t>
      </w:r>
      <w:r>
        <w:rPr>
          <w:iCs/>
          <w:i/>
        </w:rPr>
        <w:t xml:space="preserve"> </w:t>
      </w:r>
      <w:r>
        <w:rPr>
          <w:iCs/>
          <w:i/>
        </w:rPr>
        <w:t xml:space="preserve">et</w:t>
      </w:r>
      <w:r>
        <w:rPr>
          <w:iCs/>
          <w:i/>
        </w:rPr>
        <w:t xml:space="preserve"> </w:t>
      </w:r>
      <w:r>
        <w:rPr>
          <w:iCs/>
          <w:i/>
        </w:rPr>
        <w:t xml:space="preserve">“</w:t>
      </w:r>
      <w:r>
        <w:rPr>
          <w:iCs/>
          <w:i/>
        </w:rPr>
        <w:t xml:space="preserve">fouille de données</w:t>
      </w:r>
      <w:r>
        <w:rPr>
          <w:iCs/>
          <w:i/>
        </w:rPr>
        <w:t xml:space="preserve">”</w:t>
      </w:r>
      <w:r>
        <w:rPr>
          <w:iCs/>
          <w:i/>
        </w:rPr>
        <w:t xml:space="preserve"> </w:t>
      </w:r>
      <w:r>
        <w:rPr>
          <w:iCs/>
          <w:i/>
        </w:rPr>
        <w:t xml:space="preserve">comme l’ensemble du processus d’extraction de connaissance à partir de données et de modèle(s) statistique(s) (ledit processus est décrit dans la section</w:t>
      </w:r>
      <w:r>
        <w:rPr>
          <w:iCs/>
          <w:i/>
        </w:rPr>
        <w:t xml:space="preserve"> </w:t>
      </w:r>
      <w:r>
        <w:rPr>
          <w:iCs/>
          <w:i/>
        </w:rPr>
        <w:t xml:space="preserve">??</w:t>
      </w:r>
      <w:r>
        <w:rPr>
          <w:iCs/>
          <w:i/>
        </w:rPr>
        <w:t xml:space="preserve">). Nous utiliserons l’un ou l’autre des termes de manière interchangeable. Cette définition équivaut à celle de</w:t>
      </w:r>
      <w:r>
        <w:rPr>
          <w:iCs/>
          <w:i/>
        </w:rPr>
        <w:t xml:space="preserve"> </w:t>
      </w:r>
      <w:r>
        <w:rPr>
          <w:iCs/>
          <w:i/>
        </w:rPr>
        <w:t xml:space="preserve">“</w:t>
      </w:r>
      <w:r>
        <w:rPr>
          <w:iCs/>
          <w:i/>
        </w:rPr>
        <w:t xml:space="preserve">statistical modeling</w:t>
      </w:r>
      <w:r>
        <w:rPr>
          <w:iCs/>
          <w:i/>
        </w:rPr>
        <w:t xml:space="preserve">”</w:t>
      </w:r>
      <w:r>
        <w:rPr>
          <w:iCs/>
          <w:i/>
        </w:rPr>
        <w:t xml:space="preserve"> </w:t>
      </w:r>
      <w:r>
        <w:rPr>
          <w:iCs/>
          <w:i/>
        </w:rPr>
        <w:t xml:space="preserve">dans</w:t>
      </w:r>
      <w:r>
        <w:rPr>
          <w:iCs/>
          <w:i/>
        </w:rPr>
        <w:t xml:space="preserve"> </w:t>
      </w:r>
      <w:r>
        <w:rPr>
          <w:iCs/>
          <w:i/>
        </w:rPr>
        <w:t xml:space="preserve">(</w:t>
      </w:r>
      <w:hyperlink w:anchor="ref-shmueli_explain_2010">
        <w:r>
          <w:rPr>
            <w:rStyle w:val="Hyperlink"/>
            <w:iCs/>
            <w:i/>
          </w:rPr>
          <w:t xml:space="preserve">Shmueli, 2010</w:t>
        </w:r>
      </w:hyperlink>
      <w:r>
        <w:rPr>
          <w:iCs/>
          <w:i/>
        </w:rPr>
        <w:t xml:space="preserve">)</w:t>
      </w:r>
      <w:r>
        <w:rPr>
          <w:iCs/>
          <w:i/>
        </w:rPr>
        <w:t xml:space="preserve">, et est un peu plus restrictive que celle de</w:t>
      </w:r>
      <w:r>
        <w:rPr>
          <w:iCs/>
          <w:i/>
        </w:rPr>
        <w:t xml:space="preserve"> </w:t>
      </w:r>
      <w:r>
        <w:rPr>
          <w:iCs/>
          <w:i/>
        </w:rPr>
        <w:t xml:space="preserve">“</w:t>
      </w:r>
      <w:r>
        <w:rPr>
          <w:iCs/>
          <w:i/>
        </w:rPr>
        <w:t xml:space="preserve">knowledge discovery in databases</w:t>
      </w:r>
      <w:r>
        <w:rPr>
          <w:iCs/>
          <w:i/>
        </w:rPr>
        <w:t xml:space="preserve">”</w:t>
      </w:r>
      <w:r>
        <w:rPr>
          <w:iCs/>
          <w:i/>
        </w:rPr>
        <w:t xml:space="preserve"> </w:t>
      </w:r>
      <w:r>
        <w:rPr>
          <w:iCs/>
          <w:i/>
        </w:rPr>
        <w:t xml:space="preserve">dans</w:t>
      </w:r>
      <w:r>
        <w:rPr>
          <w:iCs/>
          <w:i/>
        </w:rPr>
        <w:t xml:space="preserve"> </w:t>
      </w:r>
      <w:r>
        <w:rPr>
          <w:iCs/>
          <w:i/>
        </w:rPr>
        <w:t xml:space="preserve">Fayyad et al. (</w:t>
      </w:r>
      <w:hyperlink w:anchor="ref-fayyad_data_nodate">
        <w:r>
          <w:rPr>
            <w:rStyle w:val="Hyperlink"/>
            <w:iCs/>
            <w:i/>
          </w:rPr>
          <w:t xml:space="preserve">1996</w:t>
        </w:r>
      </w:hyperlink>
      <w:r>
        <w:rPr>
          <w:iCs/>
          <w:i/>
        </w:rPr>
        <w:t xml:space="preserve">)</w:t>
      </w:r>
      <w:r>
        <w:rPr>
          <w:iCs/>
          <w:i/>
        </w:rPr>
        <w:t xml:space="preserve">, qui n’implique pas qu’il y ait usage d’un modèle statistique.</w:t>
      </w:r>
    </w:p>
    <w:bookmarkStart w:id="120" w:name="X13f9226cc7c37393ffa1dc89ff16945e1280445"/>
    <w:p>
      <w:pPr>
        <w:pStyle w:val="Heading4"/>
      </w:pPr>
      <w:r>
        <w:rPr>
          <w:iCs/>
          <w:i/>
          <w:bCs/>
          <w:b/>
        </w:rPr>
        <w:t xml:space="preserve">Modéliser pour expliquer (modélisation explicative)</w:t>
      </w:r>
    </w:p>
    <w:p>
      <w:pPr>
        <w:pStyle w:val="FirstParagraph"/>
      </w:pPr>
      <w:r>
        <w:t xml:space="preserve">Un modèle statistique peut être utilisé pour</w:t>
      </w:r>
      <w:r>
        <w:t xml:space="preserve"> </w:t>
      </w:r>
      <w:r>
        <w:rPr>
          <w:bCs/>
          <w:b/>
        </w:rPr>
        <w:t xml:space="preserve">tester ou vérifier un modèle causal théorique (cad. des hypothèses) pré-existant</w:t>
      </w:r>
      <w:r>
        <w:t xml:space="preserve">. On parle dans ce cas de</w:t>
      </w:r>
      <w:r>
        <w:t xml:space="preserve"> </w:t>
      </w:r>
      <w:r>
        <w:t xml:space="preserve">‘</w:t>
      </w:r>
      <w:r>
        <w:t xml:space="preserve">modélisation explicative</w:t>
      </w:r>
      <w:r>
        <w:t xml:space="preserve">’</w:t>
      </w:r>
      <w:r>
        <w:t xml:space="preserve"> </w:t>
      </w:r>
      <w:r>
        <w:t xml:space="preserve">(</w:t>
      </w:r>
      <w:hyperlink w:anchor="ref-shmueli_explain_2010">
        <w:r>
          <w:rPr>
            <w:rStyle w:val="Hyperlink"/>
          </w:rPr>
          <w:t xml:space="preserve">Shmueli, 2010</w:t>
        </w:r>
      </w:hyperlink>
      <w:r>
        <w:t xml:space="preserve">)</w:t>
      </w:r>
      <w:r>
        <w:t xml:space="preserve">,</w:t>
      </w:r>
      <w:r>
        <w:t xml:space="preserve"> </w:t>
      </w:r>
      <w:r>
        <w:t xml:space="preserve">‘</w:t>
      </w:r>
      <w:r>
        <w:t xml:space="preserve">d’objectif de vérification</w:t>
      </w:r>
      <w:r>
        <w:t xml:space="preserve">’</w:t>
      </w:r>
      <w:r>
        <w:t xml:space="preserve"> </w:t>
      </w:r>
      <w:r>
        <w:t xml:space="preserve">(</w:t>
      </w:r>
      <w:hyperlink w:anchor="ref-fayyad_data_nodate">
        <w:r>
          <w:rPr>
            <w:rStyle w:val="Hyperlink"/>
          </w:rPr>
          <w:t xml:space="preserve">Fayyad et al., 1996</w:t>
        </w:r>
      </w:hyperlink>
      <w:r>
        <w:t xml:space="preserve">)</w:t>
      </w:r>
      <w:r>
        <w:t xml:space="preserve">, ou de</w:t>
      </w:r>
      <w:r>
        <w:t xml:space="preserve"> </w:t>
      </w:r>
      <w:r>
        <w:t xml:space="preserve">‘</w:t>
      </w:r>
      <w:r>
        <w:t xml:space="preserve">theory-based model[ing]</w:t>
      </w:r>
      <w:r>
        <w:t xml:space="preserve">’</w:t>
      </w:r>
      <w:r>
        <w:t xml:space="preserve"> </w:t>
      </w:r>
      <w:r>
        <w:t xml:space="preserve">(</w:t>
      </w:r>
      <w:hyperlink w:anchor="ref-karpatne_theory-guided_2017">
        <w:r>
          <w:rPr>
            <w:rStyle w:val="Hyperlink"/>
          </w:rPr>
          <w:t xml:space="preserve">Karpatne et al., 2017</w:t>
        </w:r>
      </w:hyperlink>
      <w:r>
        <w:t xml:space="preserve">)</w:t>
      </w:r>
      <w:r>
        <w:t xml:space="preserve">.</w:t>
      </w:r>
      <w:r>
        <w:br/>
      </w:r>
    </w:p>
    <w:p>
      <w:pPr>
        <w:pStyle w:val="BodyText"/>
      </w:pPr>
      <w:r>
        <w:t xml:space="preserve">Dans cette approche, le modèle causal (cad. la loi de la nature) existe au niveau conceptuel, préalablement à l’utilisation du modèle statistique. Le modèle statistique est utilisé pour tester ou vérifier ce modèle théorique. Pour cela, des variables x et y, représentant respectivement X et Y, sont contruites à partir de données judicieusement collectées. Un modèle statistique est ensuite utilisé pour associer les variables x et y. L’interprétation du modèle statistique permet finalement de générer des informations statistiques sur le modèle causal théorique.</w:t>
      </w:r>
      <w:r>
        <w:br/>
      </w:r>
    </w:p>
    <w:p>
      <w:pPr>
        <w:pStyle w:val="BodyText"/>
      </w:pPr>
      <w:r>
        <w:t xml:space="preserve">Cette forme de modélisation sert donc l’approche hypothético-déductive : les observations sont intégrées dans un modèle statistique dont l’objectif est de délivrer des informations statistiques sur les associations entre observations, permettant alors de vérifier et éventuellement préciser les hypothèses préalables. Dans l’étude des systèmes complexes, l’approche réductionniste fait donc ainsi usage de la modélisation explicative.</w:t>
      </w:r>
      <w:r>
        <w:br/>
      </w:r>
    </w:p>
    <w:p>
      <w:pPr>
        <w:pStyle w:val="BodyText"/>
      </w:pPr>
      <w:r>
        <w:t xml:space="preserve">Ainsi, dans cette approche :</w:t>
      </w:r>
    </w:p>
    <w:p>
      <w:pPr>
        <w:numPr>
          <w:ilvl w:val="0"/>
          <w:numId w:val="1016"/>
        </w:numPr>
        <w:pStyle w:val="Compact"/>
      </w:pPr>
      <w:r>
        <w:rPr>
          <w:bCs/>
          <w:b/>
        </w:rPr>
        <w:t xml:space="preserve">le modèle statistique</w:t>
      </w:r>
      <w:r>
        <w:rPr>
          <w:bCs/>
          <w:b/>
        </w:rPr>
        <w:t xml:space="preserve"> </w:t>
      </w:r>
      <m:oMath>
        <m:r>
          <m:t>f</m:t>
        </m:r>
      </m:oMath>
      <w:r>
        <w:rPr>
          <w:bCs/>
          <w:b/>
        </w:rPr>
        <w:t xml:space="preserve"> </w:t>
      </w:r>
      <w:r>
        <w:rPr>
          <w:bCs/>
          <w:b/>
        </w:rPr>
        <w:t xml:space="preserve">est l’objet d’intéret</w:t>
      </w:r>
      <w:r>
        <w:t xml:space="preserve"> </w:t>
      </w:r>
      <w:r>
        <w:t xml:space="preserve">de la modélisation : son analyse permet de</w:t>
      </w:r>
      <w:r>
        <w:t xml:space="preserve"> </w:t>
      </w:r>
      <w:r>
        <w:rPr>
          <w:bCs/>
          <w:b/>
        </w:rPr>
        <w:t xml:space="preserve">tester/vérifier</w:t>
      </w:r>
      <w:r>
        <w:t xml:space="preserve"> </w:t>
      </w:r>
      <w:r>
        <w:t xml:space="preserve">les hypothèses pré-existantes de</w:t>
      </w:r>
      <w:r>
        <w:t xml:space="preserve"> </w:t>
      </w:r>
      <m:oMath>
        <m:r>
          <m:t>F</m:t>
        </m:r>
      </m:oMath>
      <w:r>
        <w:t xml:space="preserve"> </w:t>
      </w:r>
      <w:r>
        <w:t xml:space="preserve">;</w:t>
      </w:r>
    </w:p>
    <w:p>
      <w:pPr>
        <w:numPr>
          <w:ilvl w:val="0"/>
          <w:numId w:val="1016"/>
        </w:numPr>
        <w:pStyle w:val="Compact"/>
      </w:pPr>
      <w:r>
        <w:t xml:space="preserve">les données</w:t>
      </w:r>
      <w:r>
        <w:t xml:space="preserve"> </w:t>
      </w:r>
      <w:r>
        <w:rPr>
          <w:bCs/>
          <w:b/>
        </w:rPr>
        <w:t xml:space="preserve">x et y sont des outils</w:t>
      </w:r>
      <w:r>
        <w:t xml:space="preserve"> </w:t>
      </w:r>
      <w:r>
        <w:t xml:space="preserve">permettant d’estimer</w:t>
      </w:r>
      <w:r>
        <w:t xml:space="preserve"> </w:t>
      </w:r>
      <m:oMath>
        <m:r>
          <m:t>f</m:t>
        </m:r>
      </m:oMath>
      <w:r>
        <w:t xml:space="preserve">.</w:t>
      </w:r>
    </w:p>
    <w:bookmarkEnd w:id="120"/>
    <w:bookmarkStart w:id="121" w:name="Xb55dd1dd72eadd5979cf1cff58080d96e9b7128"/>
    <w:p>
      <w:pPr>
        <w:pStyle w:val="Heading4"/>
      </w:pPr>
      <w:r>
        <w:rPr>
          <w:iCs/>
          <w:i/>
          <w:bCs/>
          <w:b/>
        </w:rPr>
        <w:t xml:space="preserve">Modéliser pour décrire (modélisation descriptive)</w:t>
      </w:r>
    </w:p>
    <w:p>
      <w:pPr>
        <w:pStyle w:val="FirstParagraph"/>
      </w:pPr>
      <w:r>
        <w:t xml:space="preserve">Un modèle statistique peut être utilisé pour</w:t>
      </w:r>
      <w:r>
        <w:t xml:space="preserve"> </w:t>
      </w:r>
      <w:r>
        <w:rPr>
          <w:bCs/>
          <w:b/>
        </w:rPr>
        <w:t xml:space="preserve">décrire un modèle causal</w:t>
      </w:r>
      <w:r>
        <w:t xml:space="preserve">. Dans ce cas, l’enjeu principal du modèle étant de décrire des associations entre des évènements, on parle de</w:t>
      </w:r>
      <w:r>
        <w:t xml:space="preserve"> </w:t>
      </w:r>
      <w:r>
        <w:t xml:space="preserve">‘</w:t>
      </w:r>
      <w:r>
        <w:t xml:space="preserve">modélisation descriptive</w:t>
      </w:r>
      <w:r>
        <w:t xml:space="preserve">’</w:t>
      </w:r>
      <w:r>
        <w:t xml:space="preserve"> </w:t>
      </w:r>
      <w:r>
        <w:t xml:space="preserve">(</w:t>
      </w:r>
      <w:hyperlink w:anchor="ref-shmueli_explain_2010">
        <w:r>
          <w:rPr>
            <w:rStyle w:val="Hyperlink"/>
          </w:rPr>
          <w:t xml:space="preserve">Shmueli, 2010</w:t>
        </w:r>
      </w:hyperlink>
      <w:r>
        <w:t xml:space="preserve">)</w:t>
      </w:r>
      <w:r>
        <w:t xml:space="preserve">, d’objectif de</w:t>
      </w:r>
      <w:r>
        <w:t xml:space="preserve"> </w:t>
      </w:r>
      <w:r>
        <w:t xml:space="preserve">‘</w:t>
      </w:r>
      <w:r>
        <w:t xml:space="preserve">description</w:t>
      </w:r>
      <w:r>
        <w:t xml:space="preserve">’</w:t>
      </w:r>
      <w:r>
        <w:t xml:space="preserve"> </w:t>
      </w:r>
      <w:r>
        <w:t xml:space="preserve">(</w:t>
      </w:r>
      <w:hyperlink w:anchor="ref-fayyad_data_nodate">
        <w:r>
          <w:rPr>
            <w:rStyle w:val="Hyperlink"/>
          </w:rPr>
          <w:t xml:space="preserve">Fayyad et al., 1996</w:t>
        </w:r>
      </w:hyperlink>
      <w:r>
        <w:t xml:space="preserve">)</w:t>
      </w:r>
      <w:r>
        <w:t xml:space="preserve"> </w:t>
      </w:r>
      <w:r>
        <w:t xml:space="preserve">ou</w:t>
      </w:r>
      <w:r>
        <w:t xml:space="preserve"> </w:t>
      </w:r>
      <w:r>
        <w:t xml:space="preserve">‘</w:t>
      </w:r>
      <w:r>
        <w:t xml:space="preserve">theory-guided data science model[ing]</w:t>
      </w:r>
      <w:r>
        <w:t xml:space="preserve">’</w:t>
      </w:r>
      <w:r>
        <w:t xml:space="preserve"> </w:t>
      </w:r>
      <w:r>
        <w:t xml:space="preserve">(</w:t>
      </w:r>
      <w:hyperlink w:anchor="ref-karpatne_theory-guided_2017">
        <w:r>
          <w:rPr>
            <w:rStyle w:val="Hyperlink"/>
          </w:rPr>
          <w:t xml:space="preserve">Karpatne et al., 2017</w:t>
        </w:r>
      </w:hyperlink>
      <w:r>
        <w:t xml:space="preserve">)</w:t>
      </w:r>
      <w:r>
        <w:t xml:space="preserve">.</w:t>
      </w:r>
      <w:r>
        <w:br/>
      </w:r>
    </w:p>
    <w:p>
      <w:pPr>
        <w:pStyle w:val="BodyText"/>
      </w:pPr>
      <w:r>
        <w:t xml:space="preserve">Dans cette approche, le modèle causal n’existe pas nécéssairement, ou n’est pas formellement établi, au niveau conceptuel. Le modèle statistique f est utilisé pour décrire le modèle causal théorique F contenant des associations éventuellement peu ou pas hypothétisées. L’interprétation du modèle statistique permet finalement, éventuellement de mieux comprendre F.</w:t>
      </w:r>
      <w:r>
        <w:br/>
      </w:r>
    </w:p>
    <w:p>
      <w:pPr>
        <w:pStyle w:val="BodyText"/>
      </w:pPr>
      <w:r>
        <w:t xml:space="preserve">Cette forme de modélisation sert donc l’approche holistico-inductive : les observations sont intégrées dans un modèle statistique dont l’objectif est de trouver des descriptions résumées et pertinentes expliquant les données. Le jugement subjectif et les connaissances préalables sur F permettent ensuite d’interpréter ces relations, afin d’améliorer les connaissances sur le modèle causal théorique.</w:t>
      </w:r>
      <w:r>
        <w:br/>
      </w:r>
    </w:p>
    <w:p>
      <w:pPr>
        <w:pStyle w:val="BodyText"/>
      </w:pPr>
      <w:r>
        <w:t xml:space="preserve">Ainsi, dans cette approche :</w:t>
      </w:r>
    </w:p>
    <w:p>
      <w:pPr>
        <w:numPr>
          <w:ilvl w:val="0"/>
          <w:numId w:val="1017"/>
        </w:numPr>
        <w:pStyle w:val="Compact"/>
      </w:pPr>
      <w:r>
        <w:rPr>
          <w:bCs/>
          <w:b/>
        </w:rPr>
        <w:t xml:space="preserve">le modèle statistique</w:t>
      </w:r>
      <w:r>
        <w:rPr>
          <w:bCs/>
          <w:b/>
        </w:rPr>
        <w:t xml:space="preserve"> </w:t>
      </w:r>
      <m:oMath>
        <m:r>
          <m:t>f</m:t>
        </m:r>
      </m:oMath>
      <w:r>
        <w:rPr>
          <w:bCs/>
          <w:b/>
        </w:rPr>
        <w:t xml:space="preserve"> </w:t>
      </w:r>
      <w:r>
        <w:rPr>
          <w:bCs/>
          <w:b/>
        </w:rPr>
        <w:t xml:space="preserve">est l’objet d’intéret</w:t>
      </w:r>
      <w:r>
        <w:t xml:space="preserve"> </w:t>
      </w:r>
      <w:r>
        <w:t xml:space="preserve">: son analyse permet d’éventuellement</w:t>
      </w:r>
      <w:r>
        <w:t xml:space="preserve"> </w:t>
      </w:r>
      <w:r>
        <w:rPr>
          <w:bCs/>
          <w:b/>
        </w:rPr>
        <w:t xml:space="preserve">mieux comprendre</w:t>
      </w:r>
      <w:r>
        <w:t xml:space="preserve"> </w:t>
      </w:r>
      <m:oMath>
        <m:r>
          <m:t>F</m:t>
        </m:r>
      </m:oMath>
      <w:r>
        <w:t xml:space="preserve"> </w:t>
      </w:r>
      <w:r>
        <w:t xml:space="preserve">;</w:t>
      </w:r>
    </w:p>
    <w:p>
      <w:pPr>
        <w:numPr>
          <w:ilvl w:val="0"/>
          <w:numId w:val="1017"/>
        </w:numPr>
        <w:pStyle w:val="Compact"/>
      </w:pPr>
      <w:r>
        <w:t xml:space="preserve">les données</w:t>
      </w:r>
      <w:r>
        <w:t xml:space="preserve"> </w:t>
      </w:r>
      <w:r>
        <w:rPr>
          <w:bCs/>
          <w:b/>
        </w:rPr>
        <w:t xml:space="preserve">x et y sont des outils</w:t>
      </w:r>
      <w:r>
        <w:t xml:space="preserve"> </w:t>
      </w:r>
      <w:r>
        <w:t xml:space="preserve">permettant d’estimer</w:t>
      </w:r>
      <w:r>
        <w:t xml:space="preserve"> </w:t>
      </w:r>
      <m:oMath>
        <m:r>
          <m:t>f</m:t>
        </m:r>
      </m:oMath>
      <w:r>
        <w:t xml:space="preserve">.</w:t>
      </w:r>
    </w:p>
    <w:bookmarkEnd w:id="121"/>
    <w:bookmarkStart w:id="123" w:name="X76e199505689dbf720fc94a3da04878ba1cf266"/>
    <w:p>
      <w:pPr>
        <w:pStyle w:val="Heading4"/>
      </w:pPr>
      <w:r>
        <w:rPr>
          <w:iCs/>
          <w:i/>
          <w:bCs/>
          <w:b/>
        </w:rPr>
        <w:t xml:space="preserve">Modéliser pour prédire (modélisation prédictive)</w:t>
      </w:r>
    </w:p>
    <w:p>
      <w:pPr>
        <w:pStyle w:val="FirstParagraph"/>
      </w:pPr>
      <w:r>
        <w:t xml:space="preserve">Enfin, un modèle statistique peut être utilisé pour</w:t>
      </w:r>
      <w:r>
        <w:t xml:space="preserve"> </w:t>
      </w:r>
      <w:r>
        <w:rPr>
          <w:bCs/>
          <w:b/>
        </w:rPr>
        <w:t xml:space="preserve">prédire de nouvelles ou futures valeurs d’un évènement</w:t>
      </w:r>
      <w:r>
        <w:t xml:space="preserve">. On parle dans ce cas de modélisation statistique prédictive</w:t>
      </w:r>
      <w:r>
        <w:t xml:space="preserve"> </w:t>
      </w:r>
      <w:r>
        <w:t xml:space="preserve">(</w:t>
      </w:r>
      <w:hyperlink w:anchor="ref-shmueli_explain_2010">
        <w:r>
          <w:rPr>
            <w:rStyle w:val="Hyperlink"/>
          </w:rPr>
          <w:t xml:space="preserve">Shmueli, 2010</w:t>
        </w:r>
      </w:hyperlink>
      <w:r>
        <w:t xml:space="preserve">)</w:t>
      </w:r>
      <w:r>
        <w:t xml:space="preserve"> </w:t>
      </w:r>
      <w:r>
        <w:t xml:space="preserve">ou d’objectif de prédiction</w:t>
      </w:r>
      <w:r>
        <w:t xml:space="preserve"> </w:t>
      </w:r>
      <w:r>
        <w:t xml:space="preserve">(</w:t>
      </w:r>
      <w:hyperlink w:anchor="ref-fayyad_data_nodate">
        <w:r>
          <w:rPr>
            <w:rStyle w:val="Hyperlink"/>
          </w:rPr>
          <w:t xml:space="preserve">Fayyad et al., 1996</w:t>
        </w:r>
      </w:hyperlink>
      <w:r>
        <w:t xml:space="preserve">)</w:t>
      </w:r>
      <w:r>
        <w:t xml:space="preserve">.</w:t>
      </w:r>
      <w:r>
        <w:br/>
      </w:r>
    </w:p>
    <w:p>
      <w:pPr>
        <w:pStyle w:val="BodyText"/>
      </w:pPr>
      <w:r>
        <w:t xml:space="preserve">La modélisation prédictive s’effectue en deux étapes. Dans un premier temps, un modèle statistique, dit prédictif, est construit à partir de données x et y. En général, le pouvoir prédictif du modèle est évalué, à savoir sa capacité à générer des prédictions précises sur de nouvelles observations</w:t>
      </w:r>
      <w:r>
        <w:rPr>
          <w:rStyle w:val="FootnoteReference"/>
        </w:rPr>
        <w:footnoteReference w:id="122"/>
      </w:r>
      <w:r>
        <w:t xml:space="preserve">. Dans un second temps, ce modèle est utilisé pour prédire y lorsque de nouvelles valeurs de x, pour lesquelles les valeurs de y sont inconnues, sont disponibles.</w:t>
      </w:r>
      <w:r>
        <w:br/>
      </w:r>
    </w:p>
    <w:p>
      <w:pPr>
        <w:pStyle w:val="BodyText"/>
      </w:pPr>
      <w:r>
        <w:t xml:space="preserve">Ainsi, dans cette approche :</w:t>
      </w:r>
    </w:p>
    <w:p>
      <w:pPr>
        <w:numPr>
          <w:ilvl w:val="0"/>
          <w:numId w:val="1018"/>
        </w:numPr>
        <w:pStyle w:val="Compact"/>
      </w:pPr>
      <w:r>
        <w:t xml:space="preserve">les données</w:t>
      </w:r>
      <w:r>
        <w:t xml:space="preserve"> </w:t>
      </w:r>
      <w:r>
        <w:rPr>
          <w:bCs/>
          <w:b/>
        </w:rPr>
        <w:t xml:space="preserve">x et y sont les objets d’intérêt</w:t>
      </w:r>
      <w:r>
        <w:t xml:space="preserve">, en particulier y ;</w:t>
      </w:r>
    </w:p>
    <w:p>
      <w:pPr>
        <w:numPr>
          <w:ilvl w:val="0"/>
          <w:numId w:val="1018"/>
        </w:numPr>
        <w:pStyle w:val="Compact"/>
      </w:pPr>
      <w:r>
        <w:rPr>
          <w:bCs/>
          <w:b/>
        </w:rPr>
        <w:t xml:space="preserve">le modèle statistique</w:t>
      </w:r>
      <w:r>
        <w:rPr>
          <w:bCs/>
          <w:b/>
        </w:rPr>
        <w:t xml:space="preserve"> </w:t>
      </w:r>
      <m:oMath>
        <m:r>
          <m:t>f</m:t>
        </m:r>
      </m:oMath>
      <w:r>
        <w:rPr>
          <w:bCs/>
          <w:b/>
        </w:rPr>
        <w:t xml:space="preserve"> </w:t>
      </w:r>
      <w:r>
        <w:rPr>
          <w:bCs/>
          <w:b/>
        </w:rPr>
        <w:t xml:space="preserve">est un outil</w:t>
      </w:r>
      <w:r>
        <w:t xml:space="preserve"> </w:t>
      </w:r>
      <w:r>
        <w:t xml:space="preserve">permettant de générer des prédictions de y à partir de x.</w:t>
      </w:r>
      <w:r>
        <w:br/>
      </w:r>
      <w:r>
        <w:br/>
      </w:r>
      <w:r>
        <w:br/>
      </w:r>
    </w:p>
    <w:p>
      <w:pPr>
        <w:pStyle w:val="FirstParagraph"/>
      </w:pPr>
      <w:r>
        <w:t xml:space="preserve">Les rôles et fonctions du modèle statistique</w:t>
      </w:r>
      <w:r>
        <w:t xml:space="preserve"> </w:t>
      </w:r>
      <m:oMath>
        <m:r>
          <m:t>f</m:t>
        </m:r>
      </m:oMath>
      <w:r>
        <w:t xml:space="preserve"> </w:t>
      </w:r>
      <w:r>
        <w:t xml:space="preserve">et des données x et y diffèrent donc selon l’enjeu de la modélisation. Ces distinctions entre objets d’intérêt et outils sont importantes car elles guident les choix durant tout le processus de modélisation statistique, dès la phase de définition de l’objectif de l’étude. Dans la prochaine section, nous détaillons les grandes étapes du processus de modélisation statistique, en précisant pour chacune d’elle les différences fondamentales entre les formes de modélisation.</w:t>
      </w:r>
    </w:p>
    <w:bookmarkEnd w:id="123"/>
    <w:bookmarkEnd w:id="124"/>
    <w:bookmarkStart w:id="129" w:name="steps-statistical-modeling"/>
    <w:p>
      <w:pPr>
        <w:pStyle w:val="Heading3"/>
      </w:pPr>
      <w:r>
        <w:t xml:space="preserve">Les étapes du processus de modélisation statistique</w:t>
      </w:r>
    </w:p>
    <w:p>
      <w:pPr>
        <w:pStyle w:val="FirstParagraph"/>
      </w:pPr>
      <w:r>
        <w:t xml:space="preserve">Quelle que soit l’approche, le travail de modélisation statistique est un processus complexe, itératif, constitué d’étapes bien définies. Chacune de ces étapes implique des choix, qui diffèrent suivant l’approche utilisée, et ces choix peuvent avoir un impact sur les étapes suivantes et sur l’information et la connaissance extraites en bout de processus</w:t>
      </w:r>
      <w:r>
        <w:t xml:space="preserve"> </w:t>
      </w:r>
      <w:r>
        <w:t xml:space="preserve">(</w:t>
      </w:r>
      <w:hyperlink w:anchor="ref-fayyad_data_nodate">
        <w:r>
          <w:rPr>
            <w:rStyle w:val="Hyperlink"/>
          </w:rPr>
          <w:t xml:space="preserve">Fayyad et al., 1996</w:t>
        </w:r>
      </w:hyperlink>
      <w:r>
        <w:t xml:space="preserve">;</w:t>
      </w:r>
      <w:r>
        <w:t xml:space="preserve"> </w:t>
      </w:r>
      <w:hyperlink w:anchor="ref-shmueli_explain_2010">
        <w:r>
          <w:rPr>
            <w:rStyle w:val="Hyperlink"/>
          </w:rPr>
          <w:t xml:space="preserve">Shmueli, 2010</w:t>
        </w:r>
      </w:hyperlink>
      <w:r>
        <w:t xml:space="preserve">)</w:t>
      </w:r>
      <w:r>
        <w:t xml:space="preserve">. La figure</w:t>
      </w:r>
      <w:r>
        <w:t xml:space="preserve"> </w:t>
      </w:r>
      <w:r>
        <w:t xml:space="preserve">21</w:t>
      </w:r>
      <w:r>
        <w:t xml:space="preserve"> </w:t>
      </w:r>
      <w:r>
        <w:t xml:space="preserve">expose ces étapes. Dans cette section, nous énumérons et décrivons brièvement les principales d’entre elles, en exposant en les choix diffèrent en fonction de l’approche empreintée. Sauf mention spécifique, l’ensemble de cette section est basée sur les travaux de</w:t>
      </w:r>
      <w:r>
        <w:t xml:space="preserve"> </w:t>
      </w:r>
      <w:r>
        <w:t xml:space="preserve">(</w:t>
      </w:r>
      <w:hyperlink w:anchor="ref-shmueli_explain_2010">
        <w:r>
          <w:rPr>
            <w:rStyle w:val="Hyperlink"/>
          </w:rPr>
          <w:t xml:space="preserve">Shmueli, 2010</w:t>
        </w:r>
      </w:hyperlink>
      <w:r>
        <w:t xml:space="preserve">)</w:t>
      </w:r>
      <w:r>
        <w:t xml:space="preserve">,</w:t>
      </w:r>
      <w:r>
        <w:t xml:space="preserve"> </w:t>
      </w:r>
      <w:r>
        <w:t xml:space="preserve">(</w:t>
      </w:r>
      <w:hyperlink w:anchor="ref-shmueli_predictive_2010">
        <w:r>
          <w:rPr>
            <w:rStyle w:val="Hyperlink"/>
          </w:rPr>
          <w:t xml:space="preserve">Shmueli &amp; Koppius, 2010</w:t>
        </w:r>
      </w:hyperlink>
      <w:r>
        <w:t xml:space="preserve">)</w:t>
      </w:r>
      <w:r>
        <w:t xml:space="preserve"> </w:t>
      </w:r>
      <w:r>
        <w:t xml:space="preserve">et</w:t>
      </w:r>
      <w:r>
        <w:t xml:space="preserve"> </w:t>
      </w:r>
      <w:r>
        <w:t xml:space="preserve">(</w:t>
      </w:r>
      <w:hyperlink w:anchor="ref-fayyad_data_nodate">
        <w:r>
          <w:rPr>
            <w:rStyle w:val="Hyperlink"/>
          </w:rPr>
          <w:t xml:space="preserve">Fayyad et al., 1996</w:t>
        </w:r>
      </w:hyperlink>
      <w:r>
        <w:t xml:space="preserve">)</w:t>
      </w:r>
      <w:r>
        <w:t xml:space="preserve">.</w:t>
      </w:r>
      <w:r>
        <w:br/>
      </w:r>
    </w:p>
    <w:p>
      <w:pPr>
        <w:pStyle w:val="CaptionedFigure"/>
      </w:pPr>
      <w:r>
        <w:drawing>
          <wp:inline>
            <wp:extent cx="5334000" cy="939511"/>
            <wp:effectExtent b="0" l="0" r="0" t="0"/>
            <wp:docPr descr="Figure 21: Etapes du processus de modélisation statistique (Shmueli, 2010)" title="" id="126" name="Picture"/>
            <a:graphic>
              <a:graphicData uri="http://schemas.openxmlformats.org/drawingml/2006/picture">
                <pic:pic>
                  <pic:nvPicPr>
                    <pic:cNvPr descr="figure/modeling_steps.png" id="127" name="Picture"/>
                    <pic:cNvPicPr>
                      <a:picLocks noChangeArrowheads="1" noChangeAspect="1"/>
                    </pic:cNvPicPr>
                  </pic:nvPicPr>
                  <pic:blipFill>
                    <a:blip r:embed="rId125"/>
                    <a:stretch>
                      <a:fillRect/>
                    </a:stretch>
                  </pic:blipFill>
                  <pic:spPr bwMode="auto">
                    <a:xfrm>
                      <a:off x="0" y="0"/>
                      <a:ext cx="5334000" cy="939511"/>
                    </a:xfrm>
                    <a:prstGeom prst="rect">
                      <a:avLst/>
                    </a:prstGeom>
                    <a:noFill/>
                    <a:ln w="9525">
                      <a:noFill/>
                      <a:headEnd/>
                      <a:tailEnd/>
                    </a:ln>
                  </pic:spPr>
                </pic:pic>
              </a:graphicData>
            </a:graphic>
          </wp:inline>
        </w:drawing>
      </w:r>
    </w:p>
    <w:p>
      <w:pPr>
        <w:pStyle w:val="ImageCaption"/>
      </w:pPr>
      <w:r>
        <w:t xml:space="preserve">Figure 21: Etapes du processus de modélisation statistique</w:t>
      </w:r>
      <w:r>
        <w:t xml:space="preserve"> </w:t>
      </w:r>
      <w:r>
        <w:t xml:space="preserve">(</w:t>
      </w:r>
      <w:hyperlink w:anchor="ref-shmueli_explain_2010">
        <w:r>
          <w:rPr>
            <w:rStyle w:val="Hyperlink"/>
          </w:rPr>
          <w:t xml:space="preserve">Shmueli, 2010</w:t>
        </w:r>
      </w:hyperlink>
      <w:r>
        <w:t xml:space="preserve">)</w:t>
      </w:r>
    </w:p>
    <w:p>
      <w:pPr>
        <w:pStyle w:val="BodyText"/>
      </w:pPr>
      <w:r>
        <w:rPr>
          <w:iCs/>
          <w:i/>
          <w:bCs/>
          <w:b/>
        </w:rPr>
        <w:t xml:space="preserve">Définition de l’objectif</w:t>
      </w:r>
      <w:r>
        <w:t xml:space="preserve"> </w:t>
      </w:r>
      <w:r>
        <w:t xml:space="preserve">:</w:t>
      </w:r>
      <w:r>
        <w:t xml:space="preserve"> </w:t>
      </w:r>
      <w:r>
        <w:rPr>
          <w:bCs/>
          <w:b/>
        </w:rPr>
        <w:t xml:space="preserve">Cette étape consiste à définir l’objectif à priori du travail de modélisation (expliquer, décrire, ou prédire).</w:t>
      </w:r>
      <w:r>
        <w:t xml:space="preserve"> </w:t>
      </w:r>
      <w:r>
        <w:t xml:space="preserve">En effet, les différences conceptuelles entre les trois approches de modélisation impliquent, comme nous allons le voir ensuite, des choix différents dans les étapes du processus de modélisation à suivre ; même si les données utilisées peuvent être identiques.</w:t>
      </w:r>
      <w:r>
        <w:br/>
      </w:r>
    </w:p>
    <w:p>
      <w:pPr>
        <w:pStyle w:val="BodyText"/>
      </w:pPr>
      <w:r>
        <w:rPr>
          <w:iCs/>
          <w:i/>
          <w:bCs/>
          <w:b/>
        </w:rPr>
        <w:t xml:space="preserve">Conceptualisation de l’étude et collecte des données</w:t>
      </w:r>
      <w:r>
        <w:t xml:space="preserve"> </w:t>
      </w:r>
      <w:r>
        <w:t xml:space="preserve">:</w:t>
      </w:r>
      <w:r>
        <w:t xml:space="preserve"> </w:t>
      </w:r>
      <w:r>
        <w:rPr>
          <w:bCs/>
          <w:b/>
        </w:rPr>
        <w:t xml:space="preserve">Cette étape consiste à définir les caractéristiques de la collecte de données.</w:t>
      </w:r>
      <w:r>
        <w:t xml:space="preserve"> </w:t>
      </w:r>
      <w:r>
        <w:t xml:space="preserve">En fonction de l’approche, ces caractéristiques peuvent différer. Ainsi par exemple, en modélisation explicative, la puissance statistique est un critère majeur. Un certain nombre d’observation est donc nécéssaire, mais au delà d’un certain volume, la puissance statistique n’augmente plus. En modélisation prédictive, en général, davantage d’observations sont nécéssaires. D’autres enjeux sont à considérer : plans d’échantillonage des données, conditions d’expérimentation (laboratoire ou terrain), instruments de collecte des données, etc.</w:t>
      </w:r>
      <w:r>
        <w:br/>
      </w:r>
    </w:p>
    <w:p>
      <w:pPr>
        <w:pStyle w:val="BodyText"/>
      </w:pPr>
      <w:r>
        <w:rPr>
          <w:iCs/>
          <w:i/>
          <w:bCs/>
          <w:b/>
        </w:rPr>
        <w:t xml:space="preserve">Choix et construction des variables</w:t>
      </w:r>
      <w:r>
        <w:t xml:space="preserve"> </w:t>
      </w:r>
      <w:r>
        <w:t xml:space="preserve">:</w:t>
      </w:r>
      <w:r>
        <w:t xml:space="preserve"> </w:t>
      </w:r>
      <w:r>
        <w:rPr>
          <w:bCs/>
          <w:b/>
        </w:rPr>
        <w:t xml:space="preserve">Cette étape consiste à construire des variables statistiques à partir des données.</w:t>
      </w:r>
      <w:r>
        <w:t xml:space="preserve"> </w:t>
      </w:r>
      <w:r>
        <w:t xml:space="preserve">Les critères pour construire les variables diffèrent largement selon l’approche. En modélisation explicative, l’objectif est la causalité : les variables x et y doivent donc représenter au plus proche les évènements X et Y que l’on cherche à vérifier. En modélisation prédictive, l’objectif est l’association : on ne cherche pas à comprendre le rôle de chaque variable en terme de relation de cause à effet. Les critères d’importance pour construire les variables sont donc principalement la qualité de l’association entre celles-ci et la disponibilité des variables prédictives (indépendantes), x, au moment des futures utilisations attendues du modèle (cad. quand il servira à prédire y à partir de nouveaux x).</w:t>
      </w:r>
      <w:r>
        <w:br/>
      </w:r>
    </w:p>
    <w:p>
      <w:pPr>
        <w:pStyle w:val="BodyText"/>
      </w:pPr>
      <w:r>
        <w:t xml:space="preserve">Un exemple classique en géo-épidémiologie, le NDVI : variable explicative ou prédictive ?</w:t>
      </w:r>
    </w:p>
    <w:p>
      <w:pPr>
        <w:pStyle w:val="BodyText"/>
      </w:pPr>
      <w:r>
        <w:t xml:space="preserve">Une variable largement utilisée dans les travaux de modélisation statistique en géo-épidémiologie est le Normalized Difference Vegetation Index (NDVI)</w:t>
      </w:r>
      <w:r>
        <w:t xml:space="preserve"> </w:t>
      </w:r>
      <w:r>
        <w:t xml:space="preserve">(</w:t>
      </w:r>
      <w:hyperlink w:anchor="ref-parselia_satellite_2019">
        <w:r>
          <w:rPr>
            <w:rStyle w:val="Hyperlink"/>
          </w:rPr>
          <w:t xml:space="preserve">Parselia et al., 2019</w:t>
        </w:r>
      </w:hyperlink>
      <w:r>
        <w:t xml:space="preserve">)</w:t>
      </w:r>
      <w:r>
        <w:t xml:space="preserve">, calculé à partir de valeurs de réflectance des sols mesurées par les capteurs embarqués dans les satellites ou les drones. Cette variable, adimensionnelle, permet de déterminer la santé de la végétation en mesurant la teneur en chlorophylle des plantes. Elle est donc à la fois représentative de la quantité de végétation et de la présence d’eau, deux paramètres environnementaux ayant à priori un impact sur les traits de vie des moustiques vecteurs (voir figure</w:t>
      </w:r>
      <w:r>
        <w:t xml:space="preserve"> </w:t>
      </w:r>
      <w:r>
        <w:t xml:space="preserve">9</w:t>
      </w:r>
      <w:r>
        <w:t xml:space="preserve">). Cette variable a donc un fort potentiel d’association avec la densité des moustiques, et à ce titre, peut être utilisée en modélisation prédictive de leur abondance. En revanche, en modélisation explicative, cette variable est peu pertinente : i) on ne peut discriminer l’effet de la présence d’eau et de la végétation et ii) quel que soit le sens de l’association, il est possible de fournir une explication (une association positive peut être expliquée par la présence d’eau, une association négative peut être expliquée par la densité de végétation impliquant une réduction de la capacité de dispersion des moustiques</w:t>
      </w:r>
      <w:r>
        <w:t xml:space="preserve"> </w:t>
      </w:r>
      <w:r>
        <w:t xml:space="preserve">(</w:t>
      </w:r>
      <w:hyperlink w:anchor="ref-le_goff_low_1997">
        <w:r>
          <w:rPr>
            <w:rStyle w:val="Hyperlink"/>
          </w:rPr>
          <w:t xml:space="preserve">Le Goff, Carneval, &amp; Robert, 1997</w:t>
        </w:r>
      </w:hyperlink>
      <w:r>
        <w:t xml:space="preserve">)</w:t>
      </w:r>
      <w:r>
        <w:t xml:space="preserve">). On lui préfèrera ainsi, en modélisation explicative, des variables plus proches du modèle causal théorique : quantités de précipitations, suface occupée par la végétation, etc.</w:t>
      </w:r>
    </w:p>
    <w:p>
      <w:pPr>
        <w:pStyle w:val="BodyText"/>
      </w:pPr>
      <w:r>
        <w:t xml:space="preserve">En sus de la pertinence des variables, une autre distinction de taille est la gestion de la multicollinéarité (collinéarité entre variables). En modélisation explicative, la multicollinéarité est problématique car elle peut conduire à des effets (par ex. coefficients de régression) ou intervalles de confiance biaisés, interférant avec l’inférence. En modélisation prédictive, l’interprétation du modèle n’étant pas nécéssaire, la multicollinéarité n’est en général pas problématique.</w:t>
      </w:r>
      <w:r>
        <w:br/>
      </w:r>
    </w:p>
    <w:p>
      <w:pPr>
        <w:pStyle w:val="BodyText"/>
      </w:pPr>
      <w:r>
        <w:rPr>
          <w:iCs/>
          <w:i/>
          <w:bCs/>
          <w:b/>
        </w:rPr>
        <w:t xml:space="preserve">Choix du modèle statistique</w:t>
      </w:r>
      <w:r>
        <w:t xml:space="preserve"> </w:t>
      </w:r>
      <w:r>
        <w:t xml:space="preserve">:</w:t>
      </w:r>
      <w:r>
        <w:t xml:space="preserve"> </w:t>
      </w:r>
      <w:r>
        <w:rPr>
          <w:bCs/>
          <w:b/>
        </w:rPr>
        <w:t xml:space="preserve">Cette étape consiste à séléctionner un modèle statistique, à savoir, une fonction mathématique ou un algorithme qui associe y à x.</w:t>
      </w:r>
      <w:r>
        <w:t xml:space="preserve"> </w:t>
      </w:r>
      <w:r>
        <w:t xml:space="preserve">Il existe de très nombreux modèles statistique, et le choix dépend là encore de l’approche. En modélisation explicative et descriptive, où l’objectif est d’analyser f, le critère principal de séléction est l’interprétabilité du modèle, c’est-à-dire la capacité à extraire les associations que le modèle a capturées. En modélisation explicative, le modèle doit être en mesure de délivrer des informations statistiques précises et chiffrées (intensité de l’effet, significativité de l’association, etc.). En modélisation descriptive, le modèle doit être en mesure de capturer au mieux les relations et intéractions, potentiellement complexes (non-linéaires), entre variables. En modélisation prédictive, où f n’est que l’outil, l’enjeu est de séléctionner un modèle qui génèrera les meilleures prédictions possibles de y ; l’interprétabilité du modèle n’est donc pas un critère de choix. L’interprétabilité et interprétation des modèles statistiques est intrinsèquement liés à leur nature et la manière dont chacun fonctionne pour associer les variables. Nous nous attardons sur les différentes philosophies d’associations entre variables et sur l’interprétation des modèles dans les sections</w:t>
      </w:r>
      <w:r>
        <w:t xml:space="preserve"> </w:t>
      </w:r>
      <w:r>
        <w:t xml:space="preserve">??</w:t>
      </w:r>
      <w:r>
        <w:t xml:space="preserve"> </w:t>
      </w:r>
      <w:r>
        <w:t xml:space="preserve">et</w:t>
      </w:r>
      <w:r>
        <w:t xml:space="preserve"> </w:t>
      </w:r>
      <w:r>
        <w:t xml:space="preserve">??</w:t>
      </w:r>
      <w:r>
        <w:t xml:space="preserve">.</w:t>
      </w:r>
      <w:r>
        <w:br/>
      </w:r>
    </w:p>
    <w:p>
      <w:pPr>
        <w:pStyle w:val="BodyText"/>
      </w:pPr>
      <w:r>
        <w:rPr>
          <w:iCs/>
          <w:i/>
          <w:bCs/>
          <w:b/>
        </w:rPr>
        <w:t xml:space="preserve">Validation du modèle</w:t>
      </w:r>
      <w:r>
        <w:t xml:space="preserve"> </w:t>
      </w:r>
      <w:r>
        <w:t xml:space="preserve">:</w:t>
      </w:r>
      <w:r>
        <w:t xml:space="preserve"> </w:t>
      </w:r>
      <w:r>
        <w:rPr>
          <w:bCs/>
          <w:b/>
        </w:rPr>
        <w:t xml:space="preserve">Cette étape consiste à vérifier certaines hypothèses permettant d’utiliser ou d’interpéter le modèle correctement.</w:t>
      </w:r>
      <w:r>
        <w:t xml:space="preserve"> </w:t>
      </w:r>
      <w:r>
        <w:t xml:space="preserve">En modélisation explicative, la validation du modèle consiste à vérifier que la forme de f représente adéquatement la relation à priori entre x et y (voir section</w:t>
      </w:r>
      <w:r>
        <w:t xml:space="preserve"> </w:t>
      </w:r>
      <w:r>
        <w:t xml:space="preserve">??</w:t>
      </w:r>
      <w:r>
        <w:t xml:space="preserve">). En modélisation prédictive, la validation consiste à évaluer la propension du modèle à généraliser l’apprentissage, c’est à dire, à ne pas avoir sur-appris</w:t>
      </w:r>
      <w:r>
        <w:rPr>
          <w:rStyle w:val="FootnoteReference"/>
        </w:rPr>
        <w:footnoteReference w:id="128"/>
      </w:r>
      <w:r>
        <w:t xml:space="preserve">.</w:t>
      </w:r>
      <w:r>
        <w:br/>
      </w:r>
    </w:p>
    <w:p>
      <w:pPr>
        <w:pStyle w:val="BodyText"/>
      </w:pPr>
      <w:r>
        <w:rPr>
          <w:iCs/>
          <w:i/>
          <w:bCs/>
          <w:b/>
        </w:rPr>
        <w:t xml:space="preserve">Evaluation du modèle</w:t>
      </w:r>
      <w:r>
        <w:t xml:space="preserve"> </w:t>
      </w:r>
      <w:r>
        <w:t xml:space="preserve">:</w:t>
      </w:r>
      <w:r>
        <w:t xml:space="preserve"> </w:t>
      </w:r>
      <w:r>
        <w:rPr>
          <w:bCs/>
          <w:b/>
        </w:rPr>
        <w:t xml:space="preserve">Cette étape consiste à évaluer la performances explicative ou prédictive du modèle.</w:t>
      </w:r>
      <w:r>
        <w:t xml:space="preserve"> </w:t>
      </w:r>
      <w:r>
        <w:t xml:space="preserve">En modélisation explicative, la performances explicative du modèle est la force de la relation indiquée par f. Des mesures telles que le R</w:t>
      </w:r>
      <m:oMath>
        <m:sSup>
          <m:e>
            <m:r>
              <m:t>​</m:t>
            </m:r>
          </m:e>
          <m:sup>
            <m:r>
              <m:t>2</m:t>
            </m:r>
          </m:sup>
        </m:sSup>
      </m:oMath>
      <w:r>
        <w:t xml:space="preserve">, représentant la proportion de la variance d’une variable dépendante expliquée par les variables indépendantes, peuvent être rapportées. En modélisation prédictive, la performances prédictive du modèle est la performance du modèle sur de nouvelles données, non utilisées pour entrainer le modèle. Là aussi, des indicateurs mesurant l’écart entre les valeurs observées et prédites peuvent être utilisées (aire sous la courbe (AUC), erreur moyenne carrée (MSE), etc.). Le choix de l’indicateur de performance prédictive dépend de la nature et de la distribution statistique des données. Une différence majeure entre les évaluations des modèles prédictifs et explicatifs est la nature des données sur lesquelles l’évaluation est effectuée : alors qu’en modélisation explicative l’évaluation est faite sur les données ayant servi à générer le modèle, en modélisation prédictive, l’évaluation doit être faite sur des données qui n’ont pas servi à générer le modèle, puisque l’objectif du modèle sera de prédire sur de nouvelles données. Par ailleurs, si les observations sont non-indépendantes (par exemple dans le cas des enquêtes transversales ou des données spatiales ou temporelles), le jeu de données de validation d’un modèle prédictif doit être judicieusement séléctionné afin d’être indépendant du jeu de données d’entrainement - ceci afin d’éviter des performances prédictives surévaluées dûes au suraprentissage</w:t>
      </w:r>
      <w:r>
        <w:t xml:space="preserve"> </w:t>
      </w:r>
      <w:r>
        <w:t xml:space="preserve">(</w:t>
      </w:r>
      <w:hyperlink w:anchor="ref-meyer_improving_2018">
        <w:r>
          <w:rPr>
            <w:rStyle w:val="Hyperlink"/>
          </w:rPr>
          <w:t xml:space="preserve">Meyer, Reudenbach, Hengl, Katurji, &amp; Nauss, 2018</w:t>
        </w:r>
      </w:hyperlink>
      <w:r>
        <w:t xml:space="preserve">)</w:t>
      </w:r>
      <w:r>
        <w:t xml:space="preserve">.</w:t>
      </w:r>
      <w:r>
        <w:br/>
      </w:r>
    </w:p>
    <w:p>
      <w:pPr>
        <w:pStyle w:val="BodyText"/>
      </w:pPr>
      <w:r>
        <w:rPr>
          <w:iCs/>
          <w:i/>
          <w:bCs/>
          <w:b/>
        </w:rPr>
        <w:t xml:space="preserve">Séléction du modèle</w:t>
      </w:r>
      <w:r>
        <w:t xml:space="preserve"> </w:t>
      </w:r>
      <w:r>
        <w:t xml:space="preserve">:</w:t>
      </w:r>
      <w:r>
        <w:t xml:space="preserve"> </w:t>
      </w:r>
      <w:r>
        <w:rPr>
          <w:bCs/>
          <w:b/>
        </w:rPr>
        <w:t xml:space="preserve">Cette étape consiste à séléctionner un modèle à interpréter ou utiliser parmi les différents modèles potentiellement valides.</w:t>
      </w:r>
      <w:r>
        <w:t xml:space="preserve"> </w:t>
      </w:r>
      <w:r>
        <w:t xml:space="preserve">En modélisation explicative, un des critères les plus cruciaux est l’importance théorique des variables dans le modèle causal F. Il est ainsi nécéssaire de retenir dans le modèle les variables qui ont un effet théorique important, même s’il s’avère que dans le modèle ces variables sortent non-significativement associées à la variable réponse (par exemple, il est important de retenir la variable</w:t>
      </w:r>
      <w:r>
        <w:t xml:space="preserve"> </w:t>
      </w:r>
      <w:r>
        <w:t xml:space="preserve">‘</w:t>
      </w:r>
      <w:r>
        <w:t xml:space="preserve">type de mesure de lutte anti-vectorielle implémentée</w:t>
      </w:r>
      <w:r>
        <w:t xml:space="preserve">’</w:t>
      </w:r>
      <w:r>
        <w:t xml:space="preserve"> </w:t>
      </w:r>
      <w:r>
        <w:t xml:space="preserve">dans un modèle qui cherche à expliquer l’abondance des moustiques, même si cette variable n’est finalement pas statistiquement significativement associée à l’abondance). En modélisation prédictive, le premier critère est la performance prédictive du modèle. Le choix se portera donc sur le modèle qui génère la meilleure prédiction, quitte à supprimer des variables théoriquement importantes au niveau conceptuel. De nombreuses méthodes de séléction automatique de variables en modélisation prédictive existent à cet effet.</w:t>
      </w:r>
      <w:r>
        <w:br/>
      </w:r>
    </w:p>
    <w:p>
      <w:pPr>
        <w:pStyle w:val="BodyText"/>
      </w:pPr>
      <w:r>
        <w:rPr>
          <w:iCs/>
          <w:i/>
          <w:bCs/>
          <w:b/>
        </w:rPr>
        <w:t xml:space="preserve">Interprétation du modèle et utilisation des résultats</w:t>
      </w:r>
      <w:r>
        <w:t xml:space="preserve"> </w:t>
      </w:r>
      <w:r>
        <w:t xml:space="preserve">:</w:t>
      </w:r>
      <w:r>
        <w:t xml:space="preserve"> </w:t>
      </w:r>
      <w:r>
        <w:rPr>
          <w:bCs/>
          <w:b/>
        </w:rPr>
        <w:t xml:space="preserve">Cette étape consiste à finalement extraire de l’information ou de la connaissance pertinente à partir du modèle statistique.</w:t>
      </w:r>
      <w:r>
        <w:t xml:space="preserve"> </w:t>
      </w:r>
      <w:r>
        <w:t xml:space="preserve">En modélisation explicative, les informations d’intérêt sont les métriques statistiques renseignant sur l’effet des variables explicatives sur la variable à expliquer (coefficients directeurs par exemple), la significativité de l’effet (p-value par exemple), et la performances explicative du modèle (R</w:t>
      </w:r>
      <m:oMath>
        <m:sSup>
          <m:e>
            <m:r>
              <m:t>​</m:t>
            </m:r>
          </m:e>
          <m:sup>
            <m:r>
              <m:t>2</m:t>
            </m:r>
          </m:sup>
        </m:sSup>
      </m:oMath>
      <w:r>
        <w:t xml:space="preserve"> </w:t>
      </w:r>
      <w:r>
        <w:t xml:space="preserve">par exemple). En modélisation descriptive, il s’agit de rapporter les relations, potentiellement complexes, capturées par le modèle sous une forme compréhensible par l’humain (tableaux, graphiques, etc.). En modélisation prédictive, l’interprétation du modèle est secondaire. Les informations d’intérêt sont principalement celles issues des étapes de validation et évaluation du modèle. Les concepts et outils d’interprétation des modèles, notamment en modélisation descriptive, sont détaillées dans la section</w:t>
      </w:r>
      <w:r>
        <w:t xml:space="preserve"> </w:t>
      </w:r>
      <w:r>
        <w:t xml:space="preserve">??</w:t>
      </w:r>
      <w:r>
        <w:t xml:space="preserve">.</w:t>
      </w:r>
      <w:r>
        <w:br/>
      </w:r>
    </w:p>
    <w:bookmarkEnd w:id="129"/>
    <w:bookmarkStart w:id="130" w:name="model-categories"/>
    <w:p>
      <w:pPr>
        <w:pStyle w:val="Heading3"/>
      </w:pPr>
      <w:r>
        <w:t xml:space="preserve">Les deux grandes familles de modèles statistiques (modèles paramétriques et non-paramétriques)</w:t>
      </w:r>
    </w:p>
    <w:p>
      <w:pPr>
        <w:pStyle w:val="FirstParagraph"/>
      </w:pPr>
      <w:r>
        <w:t xml:space="preserve">Le choix du modèle statistique est un des éléments primordial dans le processus de modélisation statistique. En effet, chaque modèle est défini de telle manière qu’intrinsèquement, il associe differement les variables indépendantes (x) et dépendantes (y). En bout de chaine, cela peut avoir un impact considérable sur la nature de la connaissance qui est finalement extraite.</w:t>
      </w:r>
      <w:r>
        <w:br/>
      </w:r>
    </w:p>
    <w:p>
      <w:pPr>
        <w:pStyle w:val="BodyText"/>
      </w:pPr>
      <w:r>
        <w:t xml:space="preserve">On peut distinguer deux grandes catégories de modèles statistiques, définies par deux philosophies d’association de y à x (cad. de construction de f) conceptuellement différentes</w:t>
      </w:r>
      <w:r>
        <w:t xml:space="preserve"> </w:t>
      </w:r>
      <w:r>
        <w:t xml:space="preserve">(</w:t>
      </w:r>
      <w:hyperlink w:anchor="ref-breiman_statistical_2001">
        <w:r>
          <w:rPr>
            <w:rStyle w:val="Hyperlink"/>
          </w:rPr>
          <w:t xml:space="preserve">Breiman, 2001b</w:t>
        </w:r>
      </w:hyperlink>
      <w:r>
        <w:t xml:space="preserve">)</w:t>
      </w:r>
      <w:r>
        <w:t xml:space="preserve"> </w:t>
      </w:r>
      <w:r>
        <w:t xml:space="preserve">: les modèles paramétriques et les modèles non-paramétriques.</w:t>
      </w:r>
      <w:r>
        <w:br/>
      </w:r>
    </w:p>
    <w:p>
      <w:pPr>
        <w:pStyle w:val="BodyText"/>
      </w:pPr>
      <w:r>
        <w:t xml:space="preserve">Les modèles paramétriques simplifient la fonction f à une forme connue (par exemple : gaussienne, négative binomiale, etc.). Cette forme doit donc être spécifiée (par le modélisateur) dans le modèle. Le rôle du modèle statistique est ensuite d’estimer les coefficients de la fonction à partir des données. Des exemples de modèles paramétriques largement utilisés sont la régression linéaire et la régression logistique.</w:t>
      </w:r>
      <w:r>
        <w:br/>
      </w:r>
    </w:p>
    <w:p>
      <w:pPr>
        <w:pStyle w:val="BodyText"/>
      </w:pPr>
      <w:r>
        <w:t xml:space="preserve">Les modèles non-paramétriques, de leur côté, ne font pas d’hypothèse concernant la forme de la fonction f. Ces modèles cherchent à s’ajuster au mieux aux données en construisant la fonction f à partir des données. Des exemples de modèles non-paramétriques largement utilisés sont les arbres de décision (et modèles dérivés, tels que les forêts aléatoires) et</w:t>
      </w:r>
      <w:r>
        <w:t xml:space="preserve"> </w:t>
      </w:r>
      <w:r>
        <w:rPr>
          <w:iCs/>
          <w:i/>
        </w:rPr>
        <w:t xml:space="preserve">Support Vector Machines</w:t>
      </w:r>
      <w:r>
        <w:t xml:space="preserve">. Ces modèles sont parfois appelés modèles ou algorithmes d’apprentissage automatique (</w:t>
      </w:r>
      <w:r>
        <w:rPr>
          <w:iCs/>
          <w:i/>
        </w:rPr>
        <w:t xml:space="preserve">machine learning</w:t>
      </w:r>
      <w:r>
        <w:t xml:space="preserve">)</w:t>
      </w:r>
      <w:r>
        <w:t xml:space="preserve"> </w:t>
      </w:r>
      <w:r>
        <w:t xml:space="preserve">(</w:t>
      </w:r>
      <w:hyperlink w:anchor="ref-bzdok_statistics_2018">
        <w:r>
          <w:rPr>
            <w:rStyle w:val="Hyperlink"/>
          </w:rPr>
          <w:t xml:space="preserve">Bzdok, Altman, &amp; Krzywinski, 2018</w:t>
        </w:r>
      </w:hyperlink>
      <w:r>
        <w:t xml:space="preserve">)</w:t>
      </w:r>
      <w:r>
        <w:t xml:space="preserve"> </w:t>
      </w:r>
      <w:r>
        <w:t xml:space="preserve">ou de fouille de données (</w:t>
      </w:r>
      <w:r>
        <w:rPr>
          <w:iCs/>
          <w:i/>
        </w:rPr>
        <w:t xml:space="preserve">data mining</w:t>
      </w:r>
      <w:r>
        <w:t xml:space="preserve">)</w:t>
      </w:r>
      <w:r>
        <w:t xml:space="preserve"> </w:t>
      </w:r>
      <w:r>
        <w:t xml:space="preserve">(</w:t>
      </w:r>
      <w:hyperlink w:anchor="ref-shmueli_explain_2010">
        <w:r>
          <w:rPr>
            <w:rStyle w:val="Hyperlink"/>
          </w:rPr>
          <w:t xml:space="preserve">Shmueli, 2010</w:t>
        </w:r>
      </w:hyperlink>
      <w:r>
        <w:t xml:space="preserve">)</w:t>
      </w:r>
      <w:r>
        <w:t xml:space="preserve">.</w:t>
      </w:r>
      <w:r>
        <w:br/>
      </w:r>
    </w:p>
    <w:p>
      <w:pPr>
        <w:pStyle w:val="BodyText"/>
      </w:pPr>
      <w:r>
        <w:t xml:space="preserve">Chacune de ces méthodes possède des avantages et inconvénients. Les modèles paramétriques sont transparents (les coefficients de f sont directement interprétables) et requièrent moins de données que les modèles non-paramétriques, puisque la forme de f est à priori determinée. Cependant, ils exigent que la forme de la fonction soit connue à l’avance, et sont ensuite contraints de se conformer à cette forme. Les modèles non-paramétriques, parce qu’ils doivent chercher de manière autonome la forme de f, requièrent plus de données, de puissance et de temps de calcul, sont davantage prône au surapprentissage et sont moins transparents que les modèles paramétriques. Cependant, ils ne requièrent pas d’hypothèse à priori sur la forme fonctionnelle et sont capables de s’adapter à une gamme bien plus large de formes, en faisant ainsi de bons candidats si les relations sont à priori inconnues ou soupçonnées complexes (relations entre variables non-linéaires ou intéractions potentielles), ce qui est souvent le cas dans les processus naturels et en particulier biologiques</w:t>
      </w:r>
      <w:r>
        <w:t xml:space="preserve"> </w:t>
      </w:r>
      <w:r>
        <w:t xml:space="preserve">(</w:t>
      </w:r>
      <w:hyperlink w:anchor="ref-breiman_statistical_2001">
        <w:r>
          <w:rPr>
            <w:rStyle w:val="Hyperlink"/>
          </w:rPr>
          <w:t xml:space="preserve">Breiman, 2001b</w:t>
        </w:r>
      </w:hyperlink>
      <w:r>
        <w:t xml:space="preserve">)</w:t>
      </w:r>
      <w:r>
        <w:t xml:space="preserve">.</w:t>
      </w:r>
      <w:r>
        <w:br/>
      </w:r>
    </w:p>
    <w:p>
      <w:pPr>
        <w:pStyle w:val="BodyText"/>
      </w:pPr>
      <w:r>
        <w:t xml:space="preserve">Aussi, par définition, les modèles paramétriques sont à priori adaptés à la modélisation explicative (modèle causal théorique connu, besoin de résultats statistiques) et les modèles non-paramétriques à la modélisation prédictive (flexibilité, performance)</w:t>
      </w:r>
      <w:r>
        <w:t xml:space="preserve"> </w:t>
      </w:r>
      <w:r>
        <w:t xml:space="preserve">(</w:t>
      </w:r>
      <w:hyperlink w:anchor="ref-bzdok_statistics_2018">
        <w:r>
          <w:rPr>
            <w:rStyle w:val="Hyperlink"/>
          </w:rPr>
          <w:t xml:space="preserve">Bzdok et al., 2018</w:t>
        </w:r>
      </w:hyperlink>
      <w:r>
        <w:t xml:space="preserve">;</w:t>
      </w:r>
      <w:r>
        <w:t xml:space="preserve"> </w:t>
      </w:r>
      <w:hyperlink w:anchor="ref-shmueli_explain_2010">
        <w:r>
          <w:rPr>
            <w:rStyle w:val="Hyperlink"/>
          </w:rPr>
          <w:t xml:space="preserve">Shmueli, 2010</w:t>
        </w:r>
      </w:hyperlink>
      <w:r>
        <w:t xml:space="preserve">)</w:t>
      </w:r>
      <w:r>
        <w:t xml:space="preserve">. La modélisation descriptive, quand à elle, requiert à la fois un modèle flexible (puisque, par définition de cette approche de modélisation, les relations ne sont nécéssairement pas connues) et interprétable (puisque l’objectif final est l’extraction de connaissances à partir des relations que le modèle a capturées), deux propriétés à priori difficilement conciliables au regard de ce qui est écrit ci-dessus. Consciente du potentiel des modèles non-paramétriques pour la génération de connaissances (au delà de leur potentiel prédictif indiscutable), la communauté des scientifiques des données a developpé un ensemble d’outils visant à interpréter ces modèles. La prochaine section présente le concept et quelques outils d’interprétation des modèles statistiques.</w:t>
      </w:r>
      <w:r>
        <w:br/>
      </w:r>
    </w:p>
    <w:bookmarkEnd w:id="130"/>
    <w:bookmarkStart w:id="137" w:name="model-interpretation"/>
    <w:p>
      <w:pPr>
        <w:pStyle w:val="Heading3"/>
      </w:pPr>
      <w:r>
        <w:t xml:space="preserve">L’interprétation des modèles statistiques non-paramétriques</w:t>
      </w:r>
    </w:p>
    <w:p>
      <w:pPr>
        <w:pStyle w:val="FirstParagraph"/>
      </w:pPr>
      <w:r>
        <w:t xml:space="preserve">L’interprétation des modèles statistiques est un élément fondamental du processus de modélisation, en particulier en modélisation explicative et descriptive. L’interprétation des modèles peut être définie comme l’extraction de connaissances pertinentes à partir d’un modèle concernant des relations soit contenues dans les données soit apprises par le modèle</w:t>
      </w:r>
      <w:r>
        <w:t xml:space="preserve"> </w:t>
      </w:r>
      <w:r>
        <w:t xml:space="preserve">(</w:t>
      </w:r>
      <w:hyperlink w:anchor="ref-murdoch_definitions_2019">
        <w:r>
          <w:rPr>
            <w:rStyle w:val="Hyperlink"/>
          </w:rPr>
          <w:t xml:space="preserve">Murdoch, Singh, Kumbier, Abbasi-Asl, &amp; Yu, 2019</w:t>
        </w:r>
      </w:hyperlink>
      <w:r>
        <w:t xml:space="preserve">)</w:t>
      </w:r>
      <w:r>
        <w:t xml:space="preserve">. Au niveau de l’interprétabilité, on distingue deux grandes catégories de modèles</w:t>
      </w:r>
      <w:r>
        <w:t xml:space="preserve"> </w:t>
      </w:r>
      <w:r>
        <w:t xml:space="preserve">(</w:t>
      </w:r>
      <w:hyperlink w:anchor="ref-murdoch_definitions_2019">
        <w:r>
          <w:rPr>
            <w:rStyle w:val="Hyperlink"/>
          </w:rPr>
          <w:t xml:space="preserve">Murdoch et al., 2019</w:t>
        </w:r>
      </w:hyperlink>
      <w:r>
        <w:t xml:space="preserve">)</w:t>
      </w:r>
      <w:r>
        <w:t xml:space="preserve"> </w:t>
      </w:r>
      <w:r>
        <w:t xml:space="preserve">: les modèles permettant de comprendre naturellement et directement les relations qu’ils ont capturé, et les modèles nécéssitant une phase supplémentaire d’interprétation à postériori de leur génération, avec des outils spécifiques, pour extraire de l’information sur les relations qu’ils ont capturées.</w:t>
      </w:r>
      <w:r>
        <w:br/>
      </w:r>
    </w:p>
    <w:p>
      <w:pPr>
        <w:pStyle w:val="BodyText"/>
      </w:pPr>
      <w:r>
        <w:t xml:space="preserve">La première catégorie de modèles (modèles directement interprétables) est constituée dans l’ensemble des modèles paramétriques. Ces modèles sont transparents : les coefficients de la fonction (ainsi que d’autres métriques telles que les intervalles de confiance) sont les outils d’interprétation du modèle, à partir desquelles les connaissances sont extraites.</w:t>
      </w:r>
      <w:r>
        <w:br/>
      </w:r>
    </w:p>
    <w:p>
      <w:pPr>
        <w:pStyle w:val="BodyText"/>
      </w:pPr>
      <w:r>
        <w:t xml:space="preserve">La deuxième catégorie de modèles (modèles nécéssitant une phase supplémentaire d’interprétation) est constituée dans l’ensemble des modèles non-paramétriques. Ces modèles ont l’avantage d’être en capacité de capturer des relations et intéractions complexes mais l’inconvénient de ne pas délivrer directement les relations qu’ils ont capturées, à tel point qu’il sont souvent considérés comme des boites noires</w:t>
      </w:r>
      <w:r>
        <w:t xml:space="preserve"> </w:t>
      </w:r>
      <w:r>
        <w:t xml:space="preserve">(</w:t>
      </w:r>
      <w:hyperlink w:anchor="ref-bzdok_statistics_2018">
        <w:r>
          <w:rPr>
            <w:rStyle w:val="Hyperlink"/>
          </w:rPr>
          <w:t xml:space="preserve">Bzdok et al., 2018</w:t>
        </w:r>
      </w:hyperlink>
      <w:r>
        <w:t xml:space="preserve">)</w:t>
      </w:r>
      <w:r>
        <w:t xml:space="preserve">. Aussi, un ensemble d’outils dont l’objectif est d’extraire des informations sur les relations que le modèle a capturées a été développé depuis une vingtaine d’années</w:t>
      </w:r>
      <w:r>
        <w:t xml:space="preserve"> </w:t>
      </w:r>
      <w:r>
        <w:t xml:space="preserve">(</w:t>
      </w:r>
      <w:hyperlink w:anchor="ref-molnar_interpretable_2019">
        <w:r>
          <w:rPr>
            <w:rStyle w:val="Hyperlink"/>
          </w:rPr>
          <w:t xml:space="preserve">Molnar, 2019</w:t>
        </w:r>
      </w:hyperlink>
      <w:r>
        <w:t xml:space="preserve">)</w:t>
      </w:r>
      <w:r>
        <w:t xml:space="preserve">.</w:t>
      </w:r>
      <w:r>
        <w:br/>
      </w:r>
    </w:p>
    <w:p>
      <w:pPr>
        <w:pStyle w:val="BodyText"/>
      </w:pPr>
      <w:r>
        <w:t xml:space="preserve">Parmi les outils d’interprétation à postériori des modèles, on distingue deux grandes familles : les méthodes indépendantes du modèle interprété (dites</w:t>
      </w:r>
      <w:r>
        <w:t xml:space="preserve"> </w:t>
      </w:r>
      <w:r>
        <w:t xml:space="preserve">“</w:t>
      </w:r>
      <w:r>
        <w:t xml:space="preserve">model-agnostic</w:t>
      </w:r>
      <w:r>
        <w:t xml:space="preserve">”</w:t>
      </w:r>
      <w:r>
        <w:t xml:space="preserve">) et les méthodes spécifiques à un modèle donné (dites</w:t>
      </w:r>
      <w:r>
        <w:t xml:space="preserve"> </w:t>
      </w:r>
      <w:r>
        <w:t xml:space="preserve">“</w:t>
      </w:r>
      <w:r>
        <w:t xml:space="preserve">model-specific</w:t>
      </w:r>
      <w:r>
        <w:t xml:space="preserve">”</w:t>
      </w:r>
      <w:r>
        <w:t xml:space="preserve">)</w:t>
      </w:r>
      <w:r>
        <w:t xml:space="preserve"> </w:t>
      </w:r>
      <w:r>
        <w:t xml:space="preserve">(</w:t>
      </w:r>
      <w:hyperlink w:anchor="ref-molnar_interpretable_2019">
        <w:r>
          <w:rPr>
            <w:rStyle w:val="Hyperlink"/>
          </w:rPr>
          <w:t xml:space="preserve">Molnar, 2019</w:t>
        </w:r>
      </w:hyperlink>
      <w:r>
        <w:t xml:space="preserve">)</w:t>
      </w:r>
      <w:r>
        <w:t xml:space="preserve">. Les méthodes agnostiques peuvent elle-mêmes être subdivisées en deux classes : les méthodes globales et méthodes locales</w:t>
      </w:r>
      <w:r>
        <w:t xml:space="preserve"> </w:t>
      </w:r>
      <w:r>
        <w:t xml:space="preserve">(</w:t>
      </w:r>
      <w:hyperlink w:anchor="ref-murdoch_definitions_2019">
        <w:r>
          <w:rPr>
            <w:rStyle w:val="Hyperlink"/>
          </w:rPr>
          <w:t xml:space="preserve">Murdoch et al., 2019</w:t>
        </w:r>
      </w:hyperlink>
      <w:r>
        <w:t xml:space="preserve">)</w:t>
      </w:r>
      <w:r>
        <w:t xml:space="preserve">. Les méthodes globales décrivent la manière dont les variables explicatives affectent la variable à expliquer en moyenne, tandis que les méthodes locales visent à décrire l’effet des variables explicatives sur une observation individuelle. Enonçons et expliquons le fonctionnement de deux des outils d’interprétation</w:t>
      </w:r>
      <w:r>
        <w:t xml:space="preserve"> </w:t>
      </w:r>
      <w:r>
        <w:t xml:space="preserve">“</w:t>
      </w:r>
      <w:r>
        <w:t xml:space="preserve">model-agnostic</w:t>
      </w:r>
      <w:r>
        <w:t xml:space="preserve">”</w:t>
      </w:r>
      <w:r>
        <w:t xml:space="preserve"> </w:t>
      </w:r>
      <w:r>
        <w:t xml:space="preserve">les plus anciens et utilisés (et utilisés en particulier dans les travaux de cette thèse) : l’importance des variables par permutation et les graphiques de dépendance partielle.</w:t>
      </w:r>
      <w:r>
        <w:br/>
      </w:r>
    </w:p>
    <w:p>
      <w:pPr>
        <w:pStyle w:val="BodyText"/>
      </w:pPr>
      <w:r>
        <w:t xml:space="preserve">L’importance des variables par permutation (</w:t>
      </w:r>
      <w:r>
        <w:rPr>
          <w:iCs/>
          <w:i/>
        </w:rPr>
        <w:t xml:space="preserve">permutation feature importance</w:t>
      </w:r>
      <w:r>
        <w:t xml:space="preserve">) est une méthode introduite en 2001 par Breiman</w:t>
      </w:r>
      <w:r>
        <w:t xml:space="preserve"> </w:t>
      </w:r>
      <w:r>
        <w:t xml:space="preserve">(</w:t>
      </w:r>
      <w:hyperlink w:anchor="ref-breiman_random_2001">
        <w:r>
          <w:rPr>
            <w:rStyle w:val="Hyperlink"/>
          </w:rPr>
          <w:t xml:space="preserve">Breiman, 2001a</w:t>
        </w:r>
      </w:hyperlink>
      <w:r>
        <w:t xml:space="preserve">)</w:t>
      </w:r>
      <w:r>
        <w:t xml:space="preserve">. Cette méthode renseigne sur</w:t>
      </w:r>
      <w:r>
        <w:t xml:space="preserve"> </w:t>
      </w:r>
      <w:r>
        <w:t xml:space="preserve">“</w:t>
      </w:r>
      <w:r>
        <w:t xml:space="preserve">l’importance</w:t>
      </w:r>
      <w:r>
        <w:t xml:space="preserve">”</w:t>
      </w:r>
      <w:r>
        <w:t xml:space="preserve"> </w:t>
      </w:r>
      <w:r>
        <w:t xml:space="preserve">de chaque variable indépendante dans le modèle en mesurant l’augmentation de l’erreur de prédiction du modèle après avoir permuté les valeurs de la variable. Une variable est</w:t>
      </w:r>
      <w:r>
        <w:t xml:space="preserve"> </w:t>
      </w:r>
      <w:r>
        <w:t xml:space="preserve">“</w:t>
      </w:r>
      <w:r>
        <w:t xml:space="preserve">importante</w:t>
      </w:r>
      <w:r>
        <w:t xml:space="preserve">”</w:t>
      </w:r>
      <w:r>
        <w:t xml:space="preserve"> </w:t>
      </w:r>
      <w:r>
        <w:t xml:space="preserve">si la permutation aléatoire de ses valeurs augmente l’erreur du modèle, car dans ce cas, le modèle s’est appuyé sur la variable pour la prédiction. A l’inverse, une variable est</w:t>
      </w:r>
      <w:r>
        <w:t xml:space="preserve"> </w:t>
      </w:r>
      <w:r>
        <w:t xml:space="preserve">“</w:t>
      </w:r>
      <w:r>
        <w:t xml:space="preserve">sans importance</w:t>
      </w:r>
      <w:r>
        <w:t xml:space="preserve">”</w:t>
      </w:r>
      <w:r>
        <w:t xml:space="preserve"> </w:t>
      </w:r>
      <w:r>
        <w:t xml:space="preserve">si la permutation aléatoire de ses valeurs ne modifie pas l’erreur de prédiction du modèle, car dans ce cas, le modèle n’a pas considéré la variable pour la prédiction. Un exemple de graphique d’importance des variables est fourni en figure</w:t>
      </w:r>
      <w:r>
        <w:t xml:space="preserve"> </w:t>
      </w:r>
      <w:r>
        <w:t xml:space="preserve">22</w:t>
      </w:r>
      <w:r>
        <w:t xml:space="preserve">.</w:t>
      </w:r>
      <w:r>
        <w:br/>
      </w:r>
    </w:p>
    <w:p>
      <w:pPr>
        <w:pStyle w:val="CaptionedFigure"/>
      </w:pPr>
      <w:r>
        <w:drawing>
          <wp:inline>
            <wp:extent cx="5334000" cy="3810000"/>
            <wp:effectExtent b="0" l="0" r="0" t="0"/>
            <wp:docPr descr="Figure 22: Exemple de graphique d’importance des variables extrait de (Molnar, 2019). Le modèle statistique sous-jacent prédit un nombre de vélos loués en fonction d’un ensemble de paramètres météorologiques et socio-économiques. Le graphique montre que la variable la plus importante est la température. Par extension, on peut donc émettre l’hypothèse que la température est le facteur principal impactant la location de vélos." title="" id="132" name="Picture"/>
            <a:graphic>
              <a:graphicData uri="http://schemas.openxmlformats.org/drawingml/2006/picture">
                <pic:pic>
                  <pic:nvPicPr>
                    <pic:cNvPr descr="figure/importance-bike-1.png" id="133" name="Picture"/>
                    <pic:cNvPicPr>
                      <a:picLocks noChangeArrowheads="1" noChangeAspect="1"/>
                    </pic:cNvPicPr>
                  </pic:nvPicPr>
                  <pic:blipFill>
                    <a:blip r:embed="rId131"/>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22: Exemple de graphique d’importance des variables extrait de</w:t>
      </w:r>
      <w:r>
        <w:t xml:space="preserve"> </w:t>
      </w:r>
      <w:r>
        <w:t xml:space="preserve">(</w:t>
      </w:r>
      <w:hyperlink w:anchor="ref-molnar_interpretable_2019">
        <w:r>
          <w:rPr>
            <w:rStyle w:val="Hyperlink"/>
          </w:rPr>
          <w:t xml:space="preserve">Molnar, 2019</w:t>
        </w:r>
      </w:hyperlink>
      <w:r>
        <w:t xml:space="preserve">)</w:t>
      </w:r>
      <w:r>
        <w:t xml:space="preserve">. Le modèle statistique sous-jacent prédit un nombre de vélos loués en fonction d’un ensemble de paramètres météorologiques et socio-économiques. Le graphique montre que la variable la plus importante est la température. Par extension, on peut donc émettre l’hypothèse que la température est le facteur principal impactant la location de vélos.</w:t>
      </w:r>
    </w:p>
    <w:p>
      <w:pPr>
        <w:pStyle w:val="BodyText"/>
      </w:pPr>
      <w:r>
        <w:t xml:space="preserve">Les graphiques de dépendance partielle (</w:t>
      </w:r>
      <w:r>
        <w:rPr>
          <w:iCs/>
          <w:i/>
        </w:rPr>
        <w:t xml:space="preserve">partial dependence plots</w:t>
      </w:r>
      <w:r>
        <w:t xml:space="preserve"> </w:t>
      </w:r>
      <w:r>
        <w:t xml:space="preserve">(PDP)) ont été introduits en 2001 par Friedman</w:t>
      </w:r>
      <w:r>
        <w:t xml:space="preserve"> </w:t>
      </w:r>
      <w:r>
        <w:t xml:space="preserve">(</w:t>
      </w:r>
      <w:hyperlink w:anchor="ref-friedman_greedy_2001">
        <w:r>
          <w:rPr>
            <w:rStyle w:val="Hyperlink"/>
          </w:rPr>
          <w:t xml:space="preserve">Friedman, 2001</w:t>
        </w:r>
      </w:hyperlink>
      <w:r>
        <w:t xml:space="preserve">)</w:t>
      </w:r>
      <w:r>
        <w:t xml:space="preserve">. Cette méthode renseigne sur la relation fonctionnelle entre une variable indépendante et la variable dépendante. La relation fonctionnelle est calculée en fixant tour à tour chacune des valeurs de la variable indépendante d’intérêt pour toutes les observations, puis en calculant la valeur de la variable dépendante ainsi prédite par le modèle. Un graphique de dépendance partielle peut montrer si la relation entre la variable dépendante et indépendante est linéaire, monotone ou plus complexe. On peut utiliser la même méthode avec deux variables indépendantes : dans ce cas, le graphique renseigne sur l’effet de l’intéraction entre ces deux variables indépendante sur la variable dépendante. Un exemple de graphique d’importance des variables est fourni en figure</w:t>
      </w:r>
      <w:r>
        <w:t xml:space="preserve"> </w:t>
      </w:r>
      <w:r>
        <w:t xml:space="preserve">23</w:t>
      </w:r>
      <w:r>
        <w:t xml:space="preserve">.</w:t>
      </w:r>
      <w:r>
        <w:br/>
      </w:r>
    </w:p>
    <w:p>
      <w:pPr>
        <w:pStyle w:val="CaptionedFigure"/>
      </w:pPr>
      <w:r>
        <w:drawing>
          <wp:inline>
            <wp:extent cx="5334000" cy="3810000"/>
            <wp:effectExtent b="0" l="0" r="0" t="0"/>
            <wp:docPr descr="Figure 23: Exemple de graphiques de dépendance partielle des variables extrait de (Molnar, 2019). Le modèle statistique sous-jacent prédit un nombre de vélos loués en fonction d’un ensemble de paramètres météorologiques et socio-économiques. Le graphique montre que la relation capturée par le modèle entre le nombre de vélos prédits et respectivement la température (à gauche), l’humidité (au milieu) et la vitesse du vent (à droite) est non-linéaire" title="" id="135" name="Picture"/>
            <a:graphic>
              <a:graphicData uri="http://schemas.openxmlformats.org/drawingml/2006/picture">
                <pic:pic>
                  <pic:nvPicPr>
                    <pic:cNvPr descr="figure/pdp-bike-1.png" id="136" name="Picture"/>
                    <pic:cNvPicPr>
                      <a:picLocks noChangeArrowheads="1" noChangeAspect="1"/>
                    </pic:cNvPicPr>
                  </pic:nvPicPr>
                  <pic:blipFill>
                    <a:blip r:embed="rId134"/>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23: Exemple de graphiques de dépendance partielle des variables extrait de</w:t>
      </w:r>
      <w:r>
        <w:t xml:space="preserve"> </w:t>
      </w:r>
      <w:r>
        <w:t xml:space="preserve">(</w:t>
      </w:r>
      <w:hyperlink w:anchor="ref-molnar_interpretable_2019">
        <w:r>
          <w:rPr>
            <w:rStyle w:val="Hyperlink"/>
          </w:rPr>
          <w:t xml:space="preserve">Molnar, 2019</w:t>
        </w:r>
      </w:hyperlink>
      <w:r>
        <w:t xml:space="preserve">)</w:t>
      </w:r>
      <w:r>
        <w:t xml:space="preserve">. Le modèle statistique sous-jacent prédit un nombre de vélos loués en fonction d’un ensemble de paramètres météorologiques et socio-économiques. Le graphique montre que la relation capturée par le modèle entre le nombre de vélos prédits et respectivement la température (à gauche), l’humidité (au milieu) et la vitesse du vent (à droite) est non-linéaire</w:t>
      </w:r>
    </w:p>
    <w:p>
      <w:pPr>
        <w:pStyle w:val="BodyText"/>
      </w:pPr>
      <w:r>
        <w:t xml:space="preserve">Au delà de ces deux exemples, il existe une myriade d’outils d’interprétation à postériori des modèles statistiques</w:t>
      </w:r>
      <w:r>
        <w:t xml:space="preserve"> </w:t>
      </w:r>
      <w:r>
        <w:t xml:space="preserve">(</w:t>
      </w:r>
      <w:hyperlink w:anchor="ref-molnar_interpretable_2019">
        <w:r>
          <w:rPr>
            <w:rStyle w:val="Hyperlink"/>
          </w:rPr>
          <w:t xml:space="preserve">Molnar, 2019</w:t>
        </w:r>
      </w:hyperlink>
      <w:r>
        <w:t xml:space="preserve">)</w:t>
      </w:r>
      <w:r>
        <w:t xml:space="preserve"> </w:t>
      </w:r>
      <w:r>
        <w:t xml:space="preserve">; et le secteur est en plein développement avec l’intérêt croissant pour l’interprétation des modèles non-paramétriques</w:t>
      </w:r>
      <w:r>
        <w:t xml:space="preserve"> </w:t>
      </w:r>
      <w:r>
        <w:t xml:space="preserve">(</w:t>
      </w:r>
      <w:hyperlink w:anchor="ref-murdoch_definitions_2019">
        <w:r>
          <w:rPr>
            <w:rStyle w:val="Hyperlink"/>
          </w:rPr>
          <w:t xml:space="preserve">Murdoch et al., 2019</w:t>
        </w:r>
      </w:hyperlink>
      <w:r>
        <w:t xml:space="preserve">)</w:t>
      </w:r>
      <w:r>
        <w:t xml:space="preserve">. Ces outils permettent d’interpréter un modèle ayant potentiellement capturé des relations complexes et non-hypothétisées, et permettent d’étudier le comportement du sytème complexe sous toutes ses formes : importance de chaque composante, relations fonctionnelles, importance et effets des intéractions, etc. Ces problématiques sont, typiquement, celles en jeu dans l’étude des systèmes biologiques</w:t>
      </w:r>
      <w:r>
        <w:t xml:space="preserve"> </w:t>
      </w:r>
      <w:r>
        <w:t xml:space="preserve">(</w:t>
      </w:r>
      <w:hyperlink w:anchor="ref-yu_study_2021">
        <w:r>
          <w:rPr>
            <w:rStyle w:val="Hyperlink"/>
          </w:rPr>
          <w:t xml:space="preserve">Yu et al., 2021</w:t>
        </w:r>
      </w:hyperlink>
      <w:r>
        <w:t xml:space="preserve">)</w:t>
      </w:r>
      <w:r>
        <w:t xml:space="preserve">.</w:t>
      </w:r>
      <w:r>
        <w:br/>
      </w:r>
    </w:p>
    <w:p>
      <w:pPr>
        <w:pStyle w:val="BodyText"/>
      </w:pPr>
      <w:r>
        <w:t xml:space="preserve">Notons enfin que, au même titre que les modèles statistiques, chaque outil d’interprétation possède un lot d’hypothèses d’utilisation et de limites, et qu’il est ainsi important de bien en comprendre le fonctionnement intrinsèque afin de l’utiliser à bon escient et d’en extraire de l’information et de la connaissance pertinente</w:t>
      </w:r>
      <w:r>
        <w:t xml:space="preserve"> </w:t>
      </w:r>
      <w:r>
        <w:t xml:space="preserve">(</w:t>
      </w:r>
      <w:hyperlink w:anchor="ref-molnar_interpretable_2019">
        <w:r>
          <w:rPr>
            <w:rStyle w:val="Hyperlink"/>
          </w:rPr>
          <w:t xml:space="preserve">Molnar, 2019</w:t>
        </w:r>
      </w:hyperlink>
      <w:r>
        <w:t xml:space="preserve">;</w:t>
      </w:r>
      <w:r>
        <w:t xml:space="preserve"> </w:t>
      </w:r>
      <w:hyperlink w:anchor="ref-zhao_causal_2021">
        <w:r>
          <w:rPr>
            <w:rStyle w:val="Hyperlink"/>
          </w:rPr>
          <w:t xml:space="preserve">Zhao &amp; Hastie, 2021</w:t>
        </w:r>
      </w:hyperlink>
      <w:r>
        <w:t xml:space="preserve">)</w:t>
      </w:r>
      <w:r>
        <w:t xml:space="preserve">.</w:t>
      </w:r>
    </w:p>
    <w:bookmarkEnd w:id="137"/>
    <w:bookmarkEnd w:id="138"/>
    <w:bookmarkStart w:id="139" w:name="notes-conclusives"/>
    <w:p>
      <w:pPr>
        <w:pStyle w:val="Heading2"/>
      </w:pPr>
      <w:r>
        <w:t xml:space="preserve">Notes conclusives</w:t>
      </w:r>
    </w:p>
    <w:p>
      <w:pPr>
        <w:pStyle w:val="FirstParagraph"/>
      </w:pPr>
      <w:r>
        <w:t xml:space="preserve">Un modèle statistique est un outil permettant d’associer des données, à savoir des informations mesurables du monde qui nous entoure. Associer des données peut servir différents enjeux scientifiques : tester une théorie scientifique (expliquer), mieux comprendre un phénomène d’intérêt (décrire), prédire de nouvelles valeurs d’un évènement (prédire). Selon l’enjeu, l’ensemble du processus de modélisation statistique diffère : pour un même système étudié, le</w:t>
      </w:r>
      <w:r>
        <w:t xml:space="preserve"> </w:t>
      </w:r>
      <w:r>
        <w:t xml:space="preserve">“</w:t>
      </w:r>
      <w:r>
        <w:t xml:space="preserve">meilleur</w:t>
      </w:r>
      <w:r>
        <w:t xml:space="preserve">”</w:t>
      </w:r>
      <w:r>
        <w:t xml:space="preserve"> </w:t>
      </w:r>
      <w:r>
        <w:t xml:space="preserve">modèle explicatif sera différent du</w:t>
      </w:r>
      <w:r>
        <w:t xml:space="preserve"> </w:t>
      </w:r>
      <w:r>
        <w:t xml:space="preserve">“</w:t>
      </w:r>
      <w:r>
        <w:t xml:space="preserve">meilleur</w:t>
      </w:r>
      <w:r>
        <w:t xml:space="preserve">”</w:t>
      </w:r>
      <w:r>
        <w:t xml:space="preserve"> </w:t>
      </w:r>
      <w:r>
        <w:t xml:space="preserve">modèle prédictif, lui-même différent du</w:t>
      </w:r>
      <w:r>
        <w:t xml:space="preserve"> </w:t>
      </w:r>
      <w:r>
        <w:t xml:space="preserve">“</w:t>
      </w:r>
      <w:r>
        <w:t xml:space="preserve">meilleur</w:t>
      </w:r>
      <w:r>
        <w:t xml:space="preserve">”</w:t>
      </w:r>
      <w:r>
        <w:t xml:space="preserve"> </w:t>
      </w:r>
      <w:r>
        <w:t xml:space="preserve">modèle descriptif</w:t>
      </w:r>
      <w:r>
        <w:t xml:space="preserve"> </w:t>
      </w:r>
      <w:r>
        <w:t xml:space="preserve">(</w:t>
      </w:r>
      <w:hyperlink w:anchor="ref-shmueli_explain_2010">
        <w:r>
          <w:rPr>
            <w:rStyle w:val="Hyperlink"/>
          </w:rPr>
          <w:t xml:space="preserve">Shmueli, 2010</w:t>
        </w:r>
      </w:hyperlink>
      <w:r>
        <w:t xml:space="preserve">)</w:t>
      </w:r>
      <w:r>
        <w:t xml:space="preserve">.</w:t>
      </w:r>
      <w:r>
        <w:br/>
      </w:r>
    </w:p>
    <w:p>
      <w:pPr>
        <w:pStyle w:val="BodyText"/>
      </w:pPr>
      <w:r>
        <w:t xml:space="preserve">L’avènement des données volumineuses, des méthodes statistiques non-paramétriques (qui sont en capacité de</w:t>
      </w:r>
      <w:r>
        <w:t xml:space="preserve"> </w:t>
      </w:r>
      <w:r>
        <w:t xml:space="preserve">“</w:t>
      </w:r>
      <w:r>
        <w:t xml:space="preserve">trouver</w:t>
      </w:r>
      <w:r>
        <w:t xml:space="preserve">”</w:t>
      </w:r>
      <w:r>
        <w:t xml:space="preserve"> </w:t>
      </w:r>
      <w:r>
        <w:t xml:space="preserve">de manière autonome des associations complexes entre variables, parfois difficilement hypothétisables) et des outils permettant d’interpréter les associations capturées par ces modèles, offrent des perspectives nouvelles pour mieux prédire, mais aussi comprendre, les systèmes complexes tels que le système vectoriel. Afin d’exploiter la puissance de la modélisation statistique - c’est à dire, exploiter pleinement son potentiel, sans pour autant le surévaluer - il est essentiel de maitriser les fondements mêmes de la génération de connaissance scientifique, et de connaitre les étapes du processus de modélisation statistique ainsi que les outils de science des données qui existent.</w:t>
      </w:r>
    </w:p>
    <w:bookmarkEnd w:id="139"/>
    <w:bookmarkEnd w:id="140"/>
    <w:bookmarkStart w:id="166" w:name="data-collection-preparation"/>
    <w:p>
      <w:pPr>
        <w:pStyle w:val="Heading1"/>
      </w:pPr>
      <w:r>
        <w:t xml:space="preserve">Zones d’étude et préparation des données environnementales télédétectées</w:t>
      </w:r>
    </w:p>
    <w:p>
      <w:pPr>
        <w:pStyle w:val="FirstParagraph"/>
      </w:pPr>
      <w:r>
        <w:t xml:space="preserve">Les travaux à suivre s’inscrivent dans le cadre d’un projet plus large, nommé REACT ; et ont nécéssité la création de nombreuses données. Dans ce chapitre, nous présentons dans un premier temps les objectifs du projet REACT et les deux zones d’études du projet et de la thèse. Dans un second temps, nous décrivons les travaux de génération des données utilisées pour les études présentées dans les chapitres suivants. Enfin, nous apportons quelques précisions sur les logiciels informatiques utilisés pour manipuler les données (recueil, génération, préparation, modélisation) dans le cadre de la thèse, et présentons rapidement les codes informatiques développés pour les besoins de ces travaux.</w:t>
      </w:r>
    </w:p>
    <w:bookmarkStart w:id="144" w:name="study-areas"/>
    <w:p>
      <w:pPr>
        <w:pStyle w:val="Heading2"/>
      </w:pPr>
      <w:r>
        <w:t xml:space="preserve">Présentation du projet REACT et des zones d’études de la thèse</w:t>
      </w:r>
    </w:p>
    <w:p>
      <w:pPr>
        <w:pStyle w:val="FirstParagraph"/>
      </w:pPr>
      <w:r>
        <w:t xml:space="preserve">Les travaux de cette thèse s’inscrivent dans le cadre du projet</w:t>
      </w:r>
      <w:r>
        <w:t xml:space="preserve"> </w:t>
      </w:r>
      <w:r>
        <w:rPr>
          <w:iCs/>
          <w:i/>
        </w:rPr>
        <w:t xml:space="preserve">REACT : Gestion de la résistance aux insecticides au Burkina Faso et en Côte d’Ivoire : recherche sur les stratégies de lutte anti-vectorielle.</w:t>
      </w:r>
      <w:r>
        <w:t xml:space="preserve"> </w:t>
      </w:r>
      <w:r>
        <w:t xml:space="preserve">L’objectif principal de ce projet, dont la phase de terrain s’est déroulée entre les années 2016 et 2018, était d’évaluer l’impact de l’utilisation de mesures de lutte anti-vectorielles complémentaires à la MIILDA sur la transmission et l’épidémiologie du paludisme à travers un essai randomisé contrôlé (ERC). A cette fin, deux zones d’études ont été séléctionnées dans deux pays d’Afrique de l’ouest : le Burkina Faso (BF) et la Côte d’Ivoire (CI).</w:t>
      </w:r>
      <w:r>
        <w:br/>
      </w:r>
    </w:p>
    <w:p>
      <w:pPr>
        <w:pStyle w:val="BodyText"/>
      </w:pPr>
      <w:r>
        <w:t xml:space="preserve">Ces deux pays sont situés en zone endémiques du paludisme à</w:t>
      </w:r>
      <w:r>
        <w:t xml:space="preserve"> </w:t>
      </w:r>
      <w:r>
        <w:rPr>
          <w:iCs/>
          <w:i/>
        </w:rPr>
        <w:t xml:space="preserve">P. falciparum</w:t>
      </w:r>
      <w:r>
        <w:t xml:space="preserve">. Les courbes épidémiologiques des deux pays (morbidité et mortalité) suivent les tendances observées à l’échelle du continent (cf. figure</w:t>
      </w:r>
      <w:r>
        <w:t xml:space="preserve"> </w:t>
      </w:r>
      <w:r>
        <w:t xml:space="preserve">2</w:t>
      </w:r>
      <w:r>
        <w:t xml:space="preserve">). En 2019, avant la pandémie de covid-19, le nombre de cas de paludisme était estimé à 5.9 millions au Burkina Faso et autant en Côte d’Ivoire</w:t>
      </w:r>
      <w:r>
        <w:t xml:space="preserve"> </w:t>
      </w:r>
      <w:r>
        <w:t xml:space="preserve">(</w:t>
      </w:r>
      <w:hyperlink w:anchor="ref-who_2021">
        <w:r>
          <w:rPr>
            <w:rStyle w:val="Hyperlink"/>
          </w:rPr>
          <w:t xml:space="preserve">WHO, 2021</w:t>
        </w:r>
      </w:hyperlink>
      <w:r>
        <w:t xml:space="preserve">)</w:t>
      </w:r>
      <w:r>
        <w:t xml:space="preserve">. Comme introduit dans le chapitre 1, les principales espèces d’anophèles dans ces pays sont</w:t>
      </w:r>
      <w:r>
        <w:t xml:space="preserve"> </w:t>
      </w:r>
      <w:r>
        <w:rPr>
          <w:iCs/>
          <w:i/>
        </w:rPr>
        <w:t xml:space="preserve">An. arabiensis</w:t>
      </w:r>
      <w:r>
        <w:t xml:space="preserve">,</w:t>
      </w:r>
      <w:r>
        <w:t xml:space="preserve"> </w:t>
      </w:r>
      <w:r>
        <w:rPr>
          <w:iCs/>
          <w:i/>
        </w:rPr>
        <w:t xml:space="preserve">An. gambiae s.s.</w:t>
      </w:r>
      <w:r>
        <w:t xml:space="preserve">,</w:t>
      </w:r>
      <w:r>
        <w:t xml:space="preserve"> </w:t>
      </w:r>
      <w:r>
        <w:rPr>
          <w:iCs/>
          <w:i/>
        </w:rPr>
        <w:t xml:space="preserve">An. coluzzii</w:t>
      </w:r>
      <w:r>
        <w:t xml:space="preserve"> </w:t>
      </w:r>
      <w:r>
        <w:t xml:space="preserve">et</w:t>
      </w:r>
      <w:r>
        <w:t xml:space="preserve"> </w:t>
      </w:r>
      <w:r>
        <w:rPr>
          <w:iCs/>
          <w:i/>
        </w:rPr>
        <w:t xml:space="preserve">An. funestus</w:t>
      </w:r>
      <w:r>
        <w:t xml:space="preserve">; et dans les deux pays les résistances physiologiques des anophèles aux insecticides y sont reportées depuis plusieurs décennies (voir figure</w:t>
      </w:r>
      <w:r>
        <w:t xml:space="preserve"> </w:t>
      </w:r>
      <w:r>
        <w:t xml:space="preserve">13</w:t>
      </w:r>
      <w:r>
        <w:t xml:space="preserve">).</w:t>
      </w:r>
      <w:r>
        <w:br/>
      </w:r>
    </w:p>
    <w:p>
      <w:pPr>
        <w:pStyle w:val="BodyText"/>
      </w:pPr>
      <w:r>
        <w:t xml:space="preserve">Chaque zone d’étude du projet REACT couvre environ la surface d’un district sanitaire (~2500 km²). Il s’agit de zones principalement rurales. Pour le projet REACT, un total de 55 villages (27 au Burkina Faso, 28 en Côte d’Ivoire) a été séléctionné au sein de ces zones pour mener l’ERC selon les critères suivants : accessibilité pendant la saison des pluies, 200 à 500 habitants par village, et distance entre les villages supérieure à 2 km. La figure</w:t>
      </w:r>
      <w:r>
        <w:t xml:space="preserve"> </w:t>
      </w:r>
      <w:r>
        <w:t xml:space="preserve">24</w:t>
      </w:r>
      <w:r>
        <w:t xml:space="preserve"> </w:t>
      </w:r>
      <w:r>
        <w:t xml:space="preserve">présente la localisation géographique des zones et des villages séléctionnés ; ainsi que le chronogramme de collectes de données effectuées dans le cadre du projet REACT (voir ci-dessous).</w:t>
      </w:r>
    </w:p>
    <w:p>
      <w:pPr>
        <w:pStyle w:val="CaptionedFigure"/>
      </w:pPr>
      <w:r>
        <w:drawing>
          <wp:inline>
            <wp:extent cx="5334000" cy="4001405"/>
            <wp:effectExtent b="0" l="0" r="0" t="0"/>
            <wp:docPr descr="Figure 24: Projet REACT : zones d’étude, villages et dates de collectes des données" title="" id="142" name="Picture"/>
            <a:graphic>
              <a:graphicData uri="http://schemas.openxmlformats.org/drawingml/2006/picture">
                <pic:pic>
                  <pic:nvPicPr>
                    <pic:cNvPr descr="figure/carte_zones_react.jpg" id="143" name="Picture"/>
                    <pic:cNvPicPr>
                      <a:picLocks noChangeArrowheads="1" noChangeAspect="1"/>
                    </pic:cNvPicPr>
                  </pic:nvPicPr>
                  <pic:blipFill>
                    <a:blip r:embed="rId141"/>
                    <a:stretch>
                      <a:fillRect/>
                    </a:stretch>
                  </pic:blipFill>
                  <pic:spPr bwMode="auto">
                    <a:xfrm>
                      <a:off x="0" y="0"/>
                      <a:ext cx="5334000" cy="4001405"/>
                    </a:xfrm>
                    <a:prstGeom prst="rect">
                      <a:avLst/>
                    </a:prstGeom>
                    <a:noFill/>
                    <a:ln w="9525">
                      <a:noFill/>
                      <a:headEnd/>
                      <a:tailEnd/>
                    </a:ln>
                  </pic:spPr>
                </pic:pic>
              </a:graphicData>
            </a:graphic>
          </wp:inline>
        </w:drawing>
      </w:r>
    </w:p>
    <w:p>
      <w:pPr>
        <w:pStyle w:val="ImageCaption"/>
      </w:pPr>
      <w:r>
        <w:t xml:space="preserve">Figure 24: Projet REACT : zones d’étude, villages et dates de collectes des données</w:t>
      </w:r>
    </w:p>
    <w:p>
      <w:pPr>
        <w:pStyle w:val="BodyText"/>
      </w:pPr>
      <w:r>
        <w:t xml:space="preserve">La zone d’étude burkinabé du projet REACT couvre la région de Diébougou, au sud-ouest du pays, en région bioclimatique soudanienne</w:t>
      </w:r>
      <w:r>
        <w:t xml:space="preserve"> </w:t>
      </w:r>
      <w:r>
        <w:t xml:space="preserve">(</w:t>
      </w:r>
      <w:hyperlink w:anchor="ref-cilss_2016_landscapes_nodate">
        <w:r>
          <w:rPr>
            <w:rStyle w:val="Hyperlink"/>
          </w:rPr>
          <w:t xml:space="preserve">CILSS, 2016</w:t>
        </w:r>
      </w:hyperlink>
      <w:r>
        <w:t xml:space="preserve">)</w:t>
      </w:r>
      <w:r>
        <w:t xml:space="preserve">. Le climat y est caractérisé par saison sèche d’octobre à avril (incluant une période</w:t>
      </w:r>
      <w:r>
        <w:t xml:space="preserve"> </w:t>
      </w:r>
      <w:r>
        <w:t xml:space="preserve">‘</w:t>
      </w:r>
      <w:r>
        <w:t xml:space="preserve">froide</w:t>
      </w:r>
      <w:r>
        <w:t xml:space="preserve">’</w:t>
      </w:r>
      <w:r>
        <w:t xml:space="preserve"> </w:t>
      </w:r>
      <w:r>
        <w:t xml:space="preserve">de décembre à février et une période</w:t>
      </w:r>
      <w:r>
        <w:t xml:space="preserve"> </w:t>
      </w:r>
      <w:r>
        <w:t xml:space="preserve">‘</w:t>
      </w:r>
      <w:r>
        <w:t xml:space="preserve">chaude</w:t>
      </w:r>
      <w:r>
        <w:t xml:space="preserve">’</w:t>
      </w:r>
      <w:r>
        <w:t xml:space="preserve"> </w:t>
      </w:r>
      <w:r>
        <w:t xml:space="preserve">de mars à avril) et une saison pluvieuse de mai à septembre. Les amplitudes thermiques moyennes journalières sont 18-36 °C, 25-39 °C et 23-33 °C respectivement en saison sèche froide, sèche chaude et pluvieuse. Les précipitations annuelles moyennes sont de 1200 mm. Comme nous allons le voir en section</w:t>
      </w:r>
      <w:r>
        <w:t xml:space="preserve"> </w:t>
      </w:r>
      <w:r>
        <w:t xml:space="preserve">??</w:t>
      </w:r>
      <w:r>
        <w:t xml:space="preserve">, la végétation naturelle est dominée par la savane arborée parsemée de forêts ripicoles. La principale activité économique est l’agriculture (culture des céréales) suivie par l’exploitation artisanale de l’or et la production de charbon et de bois</w:t>
      </w:r>
      <w:r>
        <w:t xml:space="preserve"> </w:t>
      </w:r>
      <w:r>
        <w:t xml:space="preserve">(</w:t>
      </w:r>
      <w:hyperlink w:anchor="ref-INSD_1">
        <w:r>
          <w:rPr>
            <w:rStyle w:val="Hyperlink"/>
          </w:rPr>
          <w:t xml:space="preserve">INSD, 2015</w:t>
        </w:r>
      </w:hyperlink>
      <w:r>
        <w:t xml:space="preserve">,</w:t>
      </w:r>
      <w:r>
        <w:t xml:space="preserve"> </w:t>
      </w:r>
      <w:hyperlink w:anchor="ref-INSD_2">
        <w:r>
          <w:rPr>
            <w:rStyle w:val="Hyperlink"/>
          </w:rPr>
          <w:t xml:space="preserve">2017</w:t>
        </w:r>
      </w:hyperlink>
      <w:r>
        <w:t xml:space="preserve">)</w:t>
      </w:r>
      <w:r>
        <w:t xml:space="preserve">. Le principal outil de lutte anti-vectorielle dans la région de Diébougou est la MIILDA, distribuée universellement par le gouvernement tous les 3-4 ans depuis 2010</w:t>
      </w:r>
      <w:r>
        <w:t xml:space="preserve"> </w:t>
      </w:r>
      <w:r>
        <w:t xml:space="preserve">(</w:t>
      </w:r>
      <w:hyperlink w:anchor="ref-PNLP_BF">
        <w:r>
          <w:rPr>
            <w:rStyle w:val="Hyperlink"/>
          </w:rPr>
          <w:t xml:space="preserve">PNLP, 2014a</w:t>
        </w:r>
      </w:hyperlink>
      <w:r>
        <w:t xml:space="preserve">)</w:t>
      </w:r>
      <w:r>
        <w:t xml:space="preserve">. La dernière distribution avant le projet REACT datait de juillet 2016</w:t>
      </w:r>
      <w:r>
        <w:t xml:space="preserve"> </w:t>
      </w:r>
      <w:r>
        <w:t xml:space="preserve">(</w:t>
      </w:r>
      <w:hyperlink w:anchor="ref-PNLP_BF">
        <w:r>
          <w:rPr>
            <w:rStyle w:val="Hyperlink"/>
          </w:rPr>
          <w:t xml:space="preserve">PNLP, 2014a</w:t>
        </w:r>
      </w:hyperlink>
      <w:r>
        <w:t xml:space="preserve">)</w:t>
      </w:r>
      <w:r>
        <w:t xml:space="preserve">, soit 6 mois avant la première mission de collecte de données entomologique (voir ci-dessous).</w:t>
      </w:r>
      <w:r>
        <w:br/>
      </w:r>
    </w:p>
    <w:p>
      <w:pPr>
        <w:pStyle w:val="BodyText"/>
      </w:pPr>
      <w:r>
        <w:t xml:space="preserve">La zone d’étude ivoirienne du projet REACT couvre la région de Korhogo, au nord du pays, elle aussi en région bioclimatique soudanienne</w:t>
      </w:r>
      <w:r>
        <w:t xml:space="preserve"> </w:t>
      </w:r>
      <w:r>
        <w:t xml:space="preserve">(</w:t>
      </w:r>
      <w:hyperlink w:anchor="ref-cilss_2016_landscapes_nodate">
        <w:r>
          <w:rPr>
            <w:rStyle w:val="Hyperlink"/>
          </w:rPr>
          <w:t xml:space="preserve">CILSS, 2016</w:t>
        </w:r>
      </w:hyperlink>
      <w:r>
        <w:t xml:space="preserve">)</w:t>
      </w:r>
      <w:r>
        <w:t xml:space="preserve">. La saisonalité de la climatologie y est relativement similaire à celle de Diébougou (voir section</w:t>
      </w:r>
      <w:r>
        <w:t xml:space="preserve"> </w:t>
      </w:r>
      <w:r>
        <w:t xml:space="preserve">??</w:t>
      </w:r>
      <w:r>
        <w:t xml:space="preserve">). Les précipitations annuelles varient de 1200 à 1400 mm, tandis que la température moyenne annuelle varie de 21 à 35 °C. La végétation naturelle est principalement un mélange de savane et de forêt ouverte (voir section</w:t>
      </w:r>
      <w:r>
        <w:t xml:space="preserve"> </w:t>
      </w:r>
      <w:r>
        <w:t xml:space="preserve">??</w:t>
      </w:r>
      <w:r>
        <w:t xml:space="preserve">). La région possède une forte densité de barrages hydrauliques qui permettent de pratiquer l’agriculture tout au long de l’année. Comme pour la région de Diébougou, la principale activité économique est l’agriculture (riz, maïs, coton). De même, Le principal outil de lutte anti-vectorielle est là aussi la MIILDA, distribuée universellement par le gouvernement, comme au Burkina Faso, tous les 3-4 ans depuis 2010</w:t>
      </w:r>
      <w:r>
        <w:t xml:space="preserve"> </w:t>
      </w:r>
      <w:r>
        <w:t xml:space="preserve">(</w:t>
      </w:r>
      <w:hyperlink w:anchor="ref-PNLP_CI">
        <w:r>
          <w:rPr>
            <w:rStyle w:val="Hyperlink"/>
          </w:rPr>
          <w:t xml:space="preserve">PNLP, 2014b</w:t>
        </w:r>
      </w:hyperlink>
      <w:r>
        <w:t xml:space="preserve">)</w:t>
      </w:r>
      <w:r>
        <w:t xml:space="preserve">. La dernière distribution avant le projet REACT datait de 2014.</w:t>
      </w:r>
      <w:r>
        <w:br/>
      </w:r>
    </w:p>
    <w:p>
      <w:pPr>
        <w:pStyle w:val="BodyText"/>
      </w:pPr>
      <w:r>
        <w:t xml:space="preserve">L’essai randomisé s’est déroulé en 3 phases. La phase pré-intervention a duré environ un an et a principalement consisté à i) établir un recensement exhaustif de la population et de la localisation géographique des ménages dans les villages, ii) recueillir des données entomologiques, épidémiologiques et de comportement humain dans ces villages, iii) distribuer des MIILDA dans les villages d’étude en Côte d’Ivoire (au Burkina Faso, une distribution universelle de moustiquaires a eu lieu en juillet 2016). Environ une année après le début du projet, la phase d’intervention a consisté à implémenter les mesures de LAV complémentaires à la MIILDA (détaillées ci-après) dans certains villages, tirés au sort dans le cadre de l’essai randomisé contrôlé. Enfin, en phase post-intervention (environ 1 an), plusieurs sessions de collecte de données ont été menées selon les mêmes protocoles qu’en phase de pré-intervention. Ainsi, en comparant les données entomologiques et épidémiologiques de pré-intervention et de post-intervention, il est possible de mesurer l’impact des mesures de lutte anti-vectorielles complémentaires à la MIILDA sur la transmission (taux d’inoculation entomologique) et l’épidémiologique (prévalence et incidence) du paludisme.</w:t>
      </w:r>
      <w:r>
        <w:br/>
      </w:r>
    </w:p>
    <w:p>
      <w:pPr>
        <w:pStyle w:val="BodyText"/>
      </w:pPr>
      <w:r>
        <w:t xml:space="preserve">Point info :</w:t>
      </w:r>
      <w:r>
        <w:t xml:space="preserve"> </w:t>
      </w:r>
      <w:r>
        <w:rPr>
          <w:bCs/>
          <w:b/>
        </w:rPr>
        <w:t xml:space="preserve">Mesures complémentaires de LAV déployées dans le cadre du projet REACT</w:t>
      </w:r>
    </w:p>
    <w:p>
      <w:pPr>
        <w:pStyle w:val="BodyText"/>
      </w:pPr>
      <w:r>
        <w:t xml:space="preserve">Les mesures complémentaires de lutte anti-vectorielle déployées dans le cadre du projet REACT étaient les suivantes :</w:t>
      </w:r>
    </w:p>
    <w:p>
      <w:pPr>
        <w:numPr>
          <w:ilvl w:val="0"/>
          <w:numId w:val="1019"/>
        </w:numPr>
        <w:pStyle w:val="Compact"/>
      </w:pPr>
      <w:r>
        <w:rPr>
          <w:bCs/>
          <w:b/>
        </w:rPr>
        <w:t xml:space="preserve">Information, Education, communication (IEC)</w:t>
      </w:r>
      <w:r>
        <w:t xml:space="preserve"> </w:t>
      </w:r>
      <w:r>
        <w:t xml:space="preserve">(testée sur les zones BF et CI). A travers des activités de sensibilisation des populations, l’objectif de cette intervention etait d’optimiser la mise en place des MILDA, l’adhésion des populations aux campagnes de lutte et l’utilisation correcte et régulière des MIILDA.</w:t>
      </w:r>
    </w:p>
    <w:p>
      <w:pPr>
        <w:numPr>
          <w:ilvl w:val="0"/>
          <w:numId w:val="1019"/>
        </w:numPr>
        <w:pStyle w:val="Compact"/>
      </w:pPr>
      <w:r>
        <w:rPr>
          <w:bCs/>
          <w:b/>
        </w:rPr>
        <w:t xml:space="preserve">Peintures insecticides</w:t>
      </w:r>
      <w:r>
        <w:t xml:space="preserve"> </w:t>
      </w:r>
      <w:r>
        <w:t xml:space="preserve">(PID) appliquées sur les murs des habitations</w:t>
      </w:r>
      <w:r>
        <w:t xml:space="preserve"> </w:t>
      </w:r>
      <w:r>
        <w:t xml:space="preserve">(</w:t>
      </w:r>
      <w:hyperlink w:anchor="ref-mosqueira_efficacy_2010">
        <w:r>
          <w:rPr>
            <w:rStyle w:val="Hyperlink"/>
          </w:rPr>
          <w:t xml:space="preserve">Mosqueira et al., 2010</w:t>
        </w:r>
      </w:hyperlink>
      <w:r>
        <w:t xml:space="preserve">)</w:t>
      </w:r>
      <w:r>
        <w:t xml:space="preserve"> </w:t>
      </w:r>
      <w:r>
        <w:t xml:space="preserve">(testées sur les zones BF et CI). En complément des MIILDA qui visent les vecteurs endophages, l’objectif des PID etait de tuer les vecteurs endophiles qui auraient résisté à l’insecticide utilisé dans les moustiquaires.</w:t>
      </w:r>
    </w:p>
    <w:p>
      <w:pPr>
        <w:numPr>
          <w:ilvl w:val="0"/>
          <w:numId w:val="1019"/>
        </w:numPr>
        <w:pStyle w:val="Compact"/>
      </w:pPr>
      <w:r>
        <w:rPr>
          <w:bCs/>
          <w:b/>
        </w:rPr>
        <w:t xml:space="preserve">Lutte anti-larvaire</w:t>
      </w:r>
      <w:r>
        <w:t xml:space="preserve"> </w:t>
      </w:r>
      <w:r>
        <w:t xml:space="preserve">(</w:t>
      </w:r>
      <w:hyperlink w:anchor="ref-djenontin_field_2014">
        <w:r>
          <w:rPr>
            <w:rStyle w:val="Hyperlink"/>
          </w:rPr>
          <w:t xml:space="preserve">Djènontin et al., 2014</w:t>
        </w:r>
      </w:hyperlink>
      <w:r>
        <w:t xml:space="preserve">)</w:t>
      </w:r>
      <w:r>
        <w:t xml:space="preserve"> </w:t>
      </w:r>
      <w:r>
        <w:t xml:space="preserve">(testée sur la zone CI uniquement). Cette intervention visait à diminuer la population générale de vecteurs, en tuant les moustiques à leur état larvaire par l’utilisation d’insecticides d’origine bactérienne.</w:t>
      </w:r>
    </w:p>
    <w:p>
      <w:pPr>
        <w:numPr>
          <w:ilvl w:val="0"/>
          <w:numId w:val="1019"/>
        </w:numPr>
        <w:pStyle w:val="Compact"/>
      </w:pPr>
      <w:r>
        <w:rPr>
          <w:bCs/>
          <w:b/>
        </w:rPr>
        <w:t xml:space="preserve">Administration d’ivermectine</w:t>
      </w:r>
      <w:r>
        <w:t xml:space="preserve"> </w:t>
      </w:r>
      <w:r>
        <w:t xml:space="preserve">aux hôtes (testée sur la zone BF uniquement). L’ivermectine est une molécule administrée aux hôtes pour lutter contre les endoparasites. Elle diminue la longévité d’un moustique ayant pris un repas sanguin sur un hôte traité</w:t>
      </w:r>
      <w:r>
        <w:t xml:space="preserve"> </w:t>
      </w:r>
      <w:r>
        <w:t xml:space="preserve">(</w:t>
      </w:r>
      <w:hyperlink w:anchor="ref-alout_evaluation_2014">
        <w:r>
          <w:rPr>
            <w:rStyle w:val="Hyperlink"/>
          </w:rPr>
          <w:t xml:space="preserve">Alout et al., 2014</w:t>
        </w:r>
      </w:hyperlink>
      <w:r>
        <w:t xml:space="preserve">;</w:t>
      </w:r>
      <w:r>
        <w:t xml:space="preserve"> </w:t>
      </w:r>
      <w:hyperlink w:anchor="ref-ouedraogo_efficacy_2015">
        <w:r>
          <w:rPr>
            <w:rStyle w:val="Hyperlink"/>
          </w:rPr>
          <w:t xml:space="preserve">Ouedraogo et al., 2015</w:t>
        </w:r>
      </w:hyperlink>
      <w:r>
        <w:t xml:space="preserve">)</w:t>
      </w:r>
      <w:r>
        <w:t xml:space="preserve">. Dans le projet REACT, l’ivermectine a été administrée aux populations animales péri-domestiques.</w:t>
      </w:r>
    </w:p>
    <w:p>
      <w:pPr>
        <w:pStyle w:val="FirstParagraph"/>
      </w:pPr>
      <w:r>
        <w:br/>
      </w:r>
    </w:p>
    <w:p>
      <w:pPr>
        <w:pStyle w:val="BodyText"/>
      </w:pPr>
      <w:r>
        <w:t xml:space="preserve">Les travaux de thèse à suivre utilisent en grande partie des jeux de données recueillies sur le terrain dans le cadre du projet REACT, en particulier :</w:t>
      </w:r>
    </w:p>
    <w:p>
      <w:pPr>
        <w:numPr>
          <w:ilvl w:val="0"/>
          <w:numId w:val="1020"/>
        </w:numPr>
        <w:pStyle w:val="Compact"/>
      </w:pPr>
      <w:r>
        <w:t xml:space="preserve">les données</w:t>
      </w:r>
      <w:r>
        <w:t xml:space="preserve"> </w:t>
      </w:r>
      <w:r>
        <w:rPr>
          <w:bCs/>
          <w:b/>
        </w:rPr>
        <w:t xml:space="preserve">entomologiques</w:t>
      </w:r>
      <w:r>
        <w:t xml:space="preserve">,</w:t>
      </w:r>
    </w:p>
    <w:p>
      <w:pPr>
        <w:numPr>
          <w:ilvl w:val="0"/>
          <w:numId w:val="1020"/>
        </w:numPr>
        <w:pStyle w:val="Compact"/>
      </w:pPr>
      <w:r>
        <w:t xml:space="preserve">les données de</w:t>
      </w:r>
      <w:r>
        <w:t xml:space="preserve"> </w:t>
      </w:r>
      <w:r>
        <w:rPr>
          <w:bCs/>
          <w:b/>
        </w:rPr>
        <w:t xml:space="preserve">recensement des villages</w:t>
      </w:r>
      <w:r>
        <w:t xml:space="preserve"> </w:t>
      </w:r>
      <w:r>
        <w:t xml:space="preserve">(population, localisation des habitations),</w:t>
      </w:r>
    </w:p>
    <w:p>
      <w:pPr>
        <w:numPr>
          <w:ilvl w:val="0"/>
          <w:numId w:val="1020"/>
        </w:numPr>
        <w:pStyle w:val="Compact"/>
      </w:pPr>
      <w:r>
        <w:t xml:space="preserve">un jeu de données</w:t>
      </w:r>
      <w:r>
        <w:t xml:space="preserve"> </w:t>
      </w:r>
      <w:r>
        <w:rPr>
          <w:bCs/>
          <w:b/>
        </w:rPr>
        <w:t xml:space="preserve">environnementales et climatiques au cours des collectes entomologiques</w:t>
      </w:r>
      <w:r>
        <w:t xml:space="preserve">,</w:t>
      </w:r>
    </w:p>
    <w:p>
      <w:pPr>
        <w:numPr>
          <w:ilvl w:val="0"/>
          <w:numId w:val="1020"/>
        </w:numPr>
        <w:pStyle w:val="Compact"/>
      </w:pPr>
      <w:r>
        <w:t xml:space="preserve">un jeu de données de</w:t>
      </w:r>
      <w:r>
        <w:t xml:space="preserve"> </w:t>
      </w:r>
      <w:r>
        <w:rPr>
          <w:bCs/>
          <w:b/>
        </w:rPr>
        <w:t xml:space="preserve">comportement humain</w:t>
      </w:r>
      <w:r>
        <w:t xml:space="preserve"> </w:t>
      </w:r>
      <w:r>
        <w:t xml:space="preserve">relatives à l’utilisation des MIILDA et aux habitudes horaires de sommeil.</w:t>
      </w:r>
    </w:p>
    <w:p>
      <w:pPr>
        <w:pStyle w:val="FirstParagraph"/>
      </w:pPr>
      <w:r>
        <w:t xml:space="preserve">Les données entomologiques constituent la source des variables à expliquer / prédire dans les travaux de modélisation, tandis que les autres données ont été utilisées pour caractériser l’environnement à proximité spatiale et temporelle des points de capture des vecteurs (variables explicatives / prédictives). Les protocoles de recueil de ces données sont détaillés dans les études qui les utilisent, ainsi qu’en annexe</w:t>
      </w:r>
      <w:r>
        <w:t xml:space="preserve"> </w:t>
      </w:r>
      <w:r>
        <w:t xml:space="preserve">??</w:t>
      </w:r>
      <w:r>
        <w:t xml:space="preserve"> </w:t>
      </w:r>
      <w:r>
        <w:t xml:space="preserve">de ce manuscrit.</w:t>
      </w:r>
      <w:r>
        <w:br/>
      </w:r>
    </w:p>
    <w:p>
      <w:pPr>
        <w:pStyle w:val="BodyText"/>
      </w:pPr>
      <w:r>
        <w:t xml:space="preserve">Les conditions météorologiques (températures, précipitations) et paysagères (utilisation, occupation du sol) peuvent impacter l’abondance, le comportement, ou les résistances des vecteurs (voir les introductions des articles des chapitres 4 et 5 pour davantage de détails), objets d’étude de travaux de la thèse. Aussi, nous avons complété les données recueillies sur le terrain avec trois autres jeux de données environnementaux, générés sur les deux zones d’étude :</w:t>
      </w:r>
    </w:p>
    <w:p>
      <w:pPr>
        <w:numPr>
          <w:ilvl w:val="0"/>
          <w:numId w:val="1021"/>
        </w:numPr>
        <w:pStyle w:val="Compact"/>
      </w:pPr>
      <w:r>
        <w:t xml:space="preserve">données</w:t>
      </w:r>
      <w:r>
        <w:t xml:space="preserve"> </w:t>
      </w:r>
      <w:r>
        <w:rPr>
          <w:bCs/>
          <w:b/>
        </w:rPr>
        <w:t xml:space="preserve">météorologiques</w:t>
      </w:r>
      <w:r>
        <w:t xml:space="preserve"> </w:t>
      </w:r>
      <w:r>
        <w:t xml:space="preserve">au cours des semaines précédant les collectes entomologiques,</w:t>
      </w:r>
    </w:p>
    <w:p>
      <w:pPr>
        <w:numPr>
          <w:ilvl w:val="0"/>
          <w:numId w:val="1021"/>
        </w:numPr>
        <w:pStyle w:val="Compact"/>
      </w:pPr>
      <w:r>
        <w:t xml:space="preserve">données d’</w:t>
      </w:r>
      <w:r>
        <w:rPr>
          <w:bCs/>
          <w:b/>
        </w:rPr>
        <w:t xml:space="preserve">occupation et utilisation des sols</w:t>
      </w:r>
      <w:r>
        <w:t xml:space="preserve">,</w:t>
      </w:r>
    </w:p>
    <w:p>
      <w:pPr>
        <w:numPr>
          <w:ilvl w:val="0"/>
          <w:numId w:val="1021"/>
        </w:numPr>
        <w:pStyle w:val="Compact"/>
      </w:pPr>
      <w:r>
        <w:t xml:space="preserve">données sur le</w:t>
      </w:r>
      <w:r>
        <w:t xml:space="preserve"> </w:t>
      </w:r>
      <w:r>
        <w:rPr>
          <w:bCs/>
          <w:b/>
        </w:rPr>
        <w:t xml:space="preserve">réseau hydrographique théorique</w:t>
      </w:r>
      <w:r>
        <w:t xml:space="preserve">.</w:t>
      </w:r>
    </w:p>
    <w:p>
      <w:pPr>
        <w:pStyle w:val="FirstParagraph"/>
      </w:pPr>
      <w:r>
        <w:t xml:space="preserve">Ces données environnementales ont été générées à partir de produits satellitaires d’observation de la Terre. En effet, les satellites sont en mesure de capturer de nombreux paramètres environnementaux en surface ou dans l’atmosphère terrestre. Les capteurs embarqués sur ces satellites mesurent le rayonnement électromagnétique réfléchi ou émis par la surface terrestre, les océans ou l’atmosphère. Ces données brutes peuvent ensuite être traitées pour en extraire des informations environnementales telles que les précipitations, les températures au sol, l’altitude ou encore l’occupation du sol. Ces données sont particulièrement intéressantes et précieuses pour caractériser l’environnement dans des zones où les observatoires ou stations météorologiques au sol sont rares, telles que les zones rurales ouest-africaines. Aussi, les images satellitaires sont très largement utilisées en géo-épidémiologie, pour expliquer ou prédire des indicateurs entomologiques ou épidémiologiques</w:t>
      </w:r>
      <w:r>
        <w:t xml:space="preserve"> </w:t>
      </w:r>
      <w:r>
        <w:t xml:space="preserve">(</w:t>
      </w:r>
      <w:hyperlink w:anchor="ref-ebhuoma_remote_2016">
        <w:r>
          <w:rPr>
            <w:rStyle w:val="Hyperlink"/>
          </w:rPr>
          <w:t xml:space="preserve">Ebhuoma &amp; Gebreslasie, 2016</w:t>
        </w:r>
      </w:hyperlink>
      <w:r>
        <w:t xml:space="preserve">;</w:t>
      </w:r>
      <w:r>
        <w:t xml:space="preserve"> </w:t>
      </w:r>
      <w:hyperlink w:anchor="ref-parselia_satellite_2019">
        <w:r>
          <w:rPr>
            <w:rStyle w:val="Hyperlink"/>
          </w:rPr>
          <w:t xml:space="preserve">Parselia et al., 2019</w:t>
        </w:r>
      </w:hyperlink>
      <w:r>
        <w:t xml:space="preserve">)</w:t>
      </w:r>
      <w:r>
        <w:t xml:space="preserve">. Dans la suite de ce chapitre, nous détaillons les traitements qu’il a été nécessaire de réaliser pour produire ou exploiter ces données en vue des travaux de modélisation à suivre dans les prochains chapitres.</w:t>
      </w:r>
    </w:p>
    <w:bookmarkEnd w:id="144"/>
    <w:bookmarkStart w:id="162" w:name="X17195b46ea421a04d303a5bfe2a15b59d0810fc"/>
    <w:p>
      <w:pPr>
        <w:pStyle w:val="Heading2"/>
      </w:pPr>
      <w:r>
        <w:t xml:space="preserve">Production des données environnementales télédétéctées</w:t>
      </w:r>
    </w:p>
    <w:bookmarkStart w:id="150" w:name="meteo-data"/>
    <w:p>
      <w:pPr>
        <w:pStyle w:val="Heading3"/>
      </w:pPr>
      <w:r>
        <w:t xml:space="preserve">Données de météorologie</w:t>
      </w:r>
    </w:p>
    <w:p>
      <w:pPr>
        <w:pStyle w:val="FirstParagraph"/>
      </w:pPr>
      <w:r>
        <w:t xml:space="preserve">Nous avons extrait les températures et les précipitations dans nos zones d’études sur les périodes précédant les collectes entomologiques à partir de produits satellitaires d’observation de la Terre. Pour les précipitations, nous avons utilisé les produits de la mission</w:t>
      </w:r>
      <w:r>
        <w:t xml:space="preserve"> </w:t>
      </w:r>
      <w:r>
        <w:rPr>
          <w:iCs/>
          <w:i/>
        </w:rPr>
        <w:t xml:space="preserve">Global Precipitation Measurement</w:t>
      </w:r>
      <w:r>
        <w:t xml:space="preserve"> </w:t>
      </w:r>
      <w:r>
        <w:t xml:space="preserve">(GPM) (voir point info ci-dessous). Pour les températures, nous avons utilisé les données recueillies par l’instrument</w:t>
      </w:r>
      <w:r>
        <w:t xml:space="preserve"> </w:t>
      </w:r>
      <w:r>
        <w:rPr>
          <w:iCs/>
          <w:i/>
        </w:rPr>
        <w:t xml:space="preserve">Moderate Resolution Imaging Spectroradiometer</w:t>
      </w:r>
      <w:r>
        <w:t xml:space="preserve"> </w:t>
      </w:r>
      <w:r>
        <w:t xml:space="preserve">(MODIS) embarqué à bord des satellites Terra et Aqua. En particulier, nous avons utilisé les collections GPM et MODIS suivantes :</w:t>
      </w:r>
    </w:p>
    <w:p>
      <w:pPr>
        <w:numPr>
          <w:ilvl w:val="0"/>
          <w:numId w:val="1022"/>
        </w:numPr>
        <w:pStyle w:val="Compact"/>
      </w:pPr>
      <w:r>
        <w:rPr>
          <w:iCs/>
          <w:i/>
        </w:rPr>
        <w:t xml:space="preserve">MOD11A1.006</w:t>
      </w:r>
      <w:r>
        <w:t xml:space="preserve"> </w:t>
      </w:r>
      <w:r>
        <w:t xml:space="preserve">(</w:t>
      </w:r>
      <w:hyperlink w:anchor="ref-wan__zhengming_mod11a1_2015">
        <w:r>
          <w:rPr>
            <w:rStyle w:val="Hyperlink"/>
          </w:rPr>
          <w:t xml:space="preserve">Wan, Hook, &amp; Hulley, 2015a</w:t>
        </w:r>
      </w:hyperlink>
      <w:r>
        <w:t xml:space="preserve">)</w:t>
      </w:r>
      <w:r>
        <w:t xml:space="preserve"> </w:t>
      </w:r>
      <w:r>
        <w:t xml:space="preserve">: Températures de surface terrestre diurnes et nocturnes extraites de l’instrument MODIS embarqué sur le satellite Terra (résolution spatiale : 1 km, résolution temporelle : 1 jour)</w:t>
      </w:r>
    </w:p>
    <w:p>
      <w:pPr>
        <w:numPr>
          <w:ilvl w:val="0"/>
          <w:numId w:val="1022"/>
        </w:numPr>
        <w:pStyle w:val="Compact"/>
      </w:pPr>
      <w:r>
        <w:rPr>
          <w:iCs/>
          <w:i/>
        </w:rPr>
        <w:t xml:space="preserve">MYD11A1.006</w:t>
      </w:r>
      <w:r>
        <w:t xml:space="preserve"> </w:t>
      </w:r>
      <w:r>
        <w:t xml:space="preserve">(</w:t>
      </w:r>
      <w:hyperlink w:anchor="ref-wan__zhengming_myd11a1_2015">
        <w:r>
          <w:rPr>
            <w:rStyle w:val="Hyperlink"/>
          </w:rPr>
          <w:t xml:space="preserve">Wan, Hook, &amp; Hulley, 2015b</w:t>
        </w:r>
      </w:hyperlink>
      <w:r>
        <w:t xml:space="preserve">)</w:t>
      </w:r>
      <w:r>
        <w:t xml:space="preserve"> </w:t>
      </w:r>
      <w:r>
        <w:t xml:space="preserve">: Températures de surface terrestre diurnes et nocturnes extraites de l’instrument MODIS embarqué sur le satellite Aqua (résolution spatiale : 1 km, résolution temporelle : 1 jour)</w:t>
      </w:r>
    </w:p>
    <w:p>
      <w:pPr>
        <w:numPr>
          <w:ilvl w:val="0"/>
          <w:numId w:val="1022"/>
        </w:numPr>
        <w:pStyle w:val="Compact"/>
      </w:pPr>
      <w:r>
        <w:rPr>
          <w:iCs/>
          <w:i/>
        </w:rPr>
        <w:t xml:space="preserve">GPM_3IMERGDF.06</w:t>
      </w:r>
      <w:r>
        <w:t xml:space="preserve"> </w:t>
      </w:r>
      <w:r>
        <w:t xml:space="preserve">(</w:t>
      </w:r>
      <w:hyperlink w:anchor="X501c770e99687640444aee23505d9318adaaca0">
        <w:r>
          <w:rPr>
            <w:rStyle w:val="Hyperlink"/>
          </w:rPr>
          <w:t xml:space="preserve">Center, 2019</w:t>
        </w:r>
      </w:hyperlink>
      <w:r>
        <w:t xml:space="preserve">)</w:t>
      </w:r>
      <w:r>
        <w:t xml:space="preserve"> </w:t>
      </w:r>
      <w:r>
        <w:t xml:space="preserve">: Précipitations extraites de GPM (résolution spatiale : 0.1 ° (~ 10 km), résolution temporelle : 1 jour)</w:t>
      </w:r>
      <w:r>
        <w:br/>
      </w:r>
    </w:p>
    <w:p>
      <w:pPr>
        <w:pStyle w:val="FirstParagraph"/>
      </w:pPr>
      <w:r>
        <w:t xml:space="preserve">Point info :</w:t>
      </w:r>
      <w:r>
        <w:t xml:space="preserve"> </w:t>
      </w:r>
      <w:r>
        <w:rPr>
          <w:bCs/>
          <w:b/>
        </w:rPr>
        <w:t xml:space="preserve">GPM et MODIS : des données météorologiques à l’échelle mondiale et à fine résolution spatio-temporelle</w:t>
      </w:r>
    </w:p>
    <w:p>
      <w:pPr>
        <w:pStyle w:val="BodyText"/>
      </w:pPr>
      <w:r>
        <w:t xml:space="preserve">Initiée par la NASA et la JAXA (agences spatiales respectivement états-uniennes et japonaises), la mission GPM est un projet international en cours depuis l’année 2014, comprenant une constellation de satellites appartenant à plusieurs agences spatiales nationales. À sa résolution spatio-temporelle la plus fine, elle fournit des estimations des précipitations à une résolution de 10 km / 30 minutes pour l’ensemble du globe en temps quasi réel (4 heures de latence entre l’acquisition du satellite et la mise à disposition des données). Les estimations sont ensuite consolidées via divers algorithmes de correction, pour créer des produits consolidés destinés à la recherche environ 3 mois après l’acquisition. Les données GPM sont générées à différentes résolutions temporelles (30 minutes, 1 jour, 1 mois). Tous les produits sont gratuits et libres d’accès pour l’utilisateur.</w:t>
      </w:r>
      <w:r>
        <w:br/>
      </w:r>
    </w:p>
    <w:p>
      <w:pPr>
        <w:pStyle w:val="BodyText"/>
      </w:pPr>
      <w:r>
        <w:t xml:space="preserve">L’instrument MODIS est embarqué à bord de Terra et Aqua de la NASA, deux satellites d’observation de la Terre lancés respectivement en 1999 et 2002. Les différents spectromètres de MODIS prennent une image complète de la Terre tous les 1 à 2 jours. Les satellites Terra et Aqua fonctionnant en phase et l’instrument MODIS capturant des données strictement identiques, les produits MODIS issus des deux satellites peuvent être combinés pour obtenir des produits à résolution temporelle très fine (jusqu’à 0.5 jour). Les observations brutes de MODIS sont traitées automatiquement par différents algorithmes de la NASA pour générer des produits dits de</w:t>
      </w:r>
      <w:r>
        <w:t xml:space="preserve"> </w:t>
      </w:r>
      <w:r>
        <w:t xml:space="preserve">“</w:t>
      </w:r>
      <w:r>
        <w:t xml:space="preserve">haut niveau</w:t>
      </w:r>
      <w:r>
        <w:t xml:space="preserve">”</w:t>
      </w:r>
      <w:r>
        <w:t xml:space="preserve">, directement utilisables par les différentes communautés scientifiques (océanographie, biologie, sciences de l’atmosphère, etc.). Les produits de haut niveau de MODIS comprennent, par exemple, la réflectance de la surface, la température de surface de la terre et de la mer, la couverture neigeuse, la concentration de chlorophylle-a dans l’océan, des indices de végétation, etc. Les résolutions spatiales et temporelles varient en fonction du produit. Toutes les données MODIS sont ouvertes et gratuites, et mises à disposition des utilisateurs finaux à différentes échéances temporelles après l’acquisition (quelques heures à une année, en fonction du produit).</w:t>
      </w:r>
      <w:r>
        <w:br/>
      </w:r>
    </w:p>
    <w:p>
      <w:pPr>
        <w:pStyle w:val="BodyText"/>
      </w:pPr>
      <w:r>
        <w:t xml:space="preserve">Nous avons choisi d’extraire ces données de précipitations et températures sur une période de six semaines (soit 42 jours) précédant chaque collecte entomologique. Cette période permet en effet de couvrir largement la durée de vie d’un anophèle sur le terrainn (incluant les phases aquatiques et larvaires)</w:t>
      </w:r>
      <w:r>
        <w:t xml:space="preserve"> </w:t>
      </w:r>
      <w:r>
        <w:t xml:space="preserve">(</w:t>
      </w:r>
      <w:hyperlink w:anchor="ref-holstein_biologie_1952">
        <w:r>
          <w:rPr>
            <w:rStyle w:val="Hyperlink"/>
          </w:rPr>
          <w:t xml:space="preserve">Holstein, 1952</w:t>
        </w:r>
      </w:hyperlink>
      <w:r>
        <w:t xml:space="preserve">)</w:t>
      </w:r>
      <w:r>
        <w:t xml:space="preserve">. La quantité de données à extraire (3 collections de produits satellitaires, 2 zones d’études, plusieurs centaines de dates d’intérêt) nous a posé la question de la méthode à utiliser pour ce faire. Les données MODIS et GPM sont originellement stockées sur les serveurs de la NASA. Afin de s’adapter aux différents besoins, habitudes et compétences techniques des utilisateurs finaux des produits satellitaires, l’agence met à disposition de multiples outils pour les télécharger et les propose dans de nombreux formats numériques. Parmi les différents outils disponibles pour accéder aux données, un a particulièrement retenu notre attention : le protocole OPeNDAP.</w:t>
      </w:r>
      <w:r>
        <w:br/>
      </w:r>
    </w:p>
    <w:p>
      <w:pPr>
        <w:pStyle w:val="BodyText"/>
      </w:pPr>
      <w:r>
        <w:t xml:space="preserve">Point info :</w:t>
      </w:r>
      <w:r>
        <w:t xml:space="preserve"> </w:t>
      </w:r>
      <w:r>
        <w:rPr>
          <w:bCs/>
          <w:b/>
        </w:rPr>
        <w:t xml:space="preserve">Le protocole OPeNDAP</w:t>
      </w:r>
    </w:p>
    <w:p>
      <w:pPr>
        <w:pStyle w:val="BodyText"/>
      </w:pPr>
      <w:r>
        <w:t xml:space="preserve">OPeNDAP est l’acronyme de</w:t>
      </w:r>
      <w:r>
        <w:t xml:space="preserve"> </w:t>
      </w:r>
      <w:r>
        <w:t xml:space="preserve">“</w:t>
      </w:r>
      <w:r>
        <w:t xml:space="preserve">Open-source Project for a Network Data Access Protocol</w:t>
      </w:r>
      <w:r>
        <w:t xml:space="preserve">”</w:t>
      </w:r>
      <w:r>
        <w:t xml:space="preserve">, un projet (et le nom du serveur) visant à faciliter l’accès à des données structurées (telles que les produits satellitaires) sur le Web. L’une des principales forces d’OPeNDAP est qu’il permet de filter les produits satellitaires dès la phase de téléchargement - spatialement, temporellement et dimensionnellement. Ainsi, seule la partie réellement utile des données pour l’utilisateur est téléchargée (et le volume de données téléchargées est donc limité au strict nécéssaire) ; ce qui contraste avec la pluspart des interfaces</w:t>
      </w:r>
      <w:r>
        <w:t xml:space="preserve"> </w:t>
      </w:r>
      <w:r>
        <w:t xml:space="preserve">‘</w:t>
      </w:r>
      <w:r>
        <w:t xml:space="preserve">clic-bouton</w:t>
      </w:r>
      <w:r>
        <w:t xml:space="preserve">’</w:t>
      </w:r>
      <w:r>
        <w:t xml:space="preserve"> </w:t>
      </w:r>
      <w:r>
        <w:t xml:space="preserve">d’accès aux données - où de grands volumes de données sont généralement importés, quand bien même l’utilisateur n’en nécéssiterait qu’une petite partie. Notons aussi que le projet OPeNDAP est développé collaborativement par plusieurs institutions et entreprises, que le code source et ouvert et que le logiciel est gratuit.</w:t>
      </w:r>
      <w:r>
        <w:br/>
      </w:r>
    </w:p>
    <w:p>
      <w:pPr>
        <w:pStyle w:val="BodyText"/>
      </w:pPr>
      <w:r>
        <w:t xml:space="preserve">Pour télécharger un produit satellitaire disponible sur un serveur OPeNDAP, il s’agit d’envoyer au serveur une URL dans laquelle les filtres (spatiaux, temporels, dimensionnels) sont spécifiés. Par exemple l’URL suivante :</w:t>
      </w:r>
    </w:p>
    <w:p>
      <w:pPr>
        <w:pStyle w:val="BodyText"/>
      </w:pPr>
      <w:hyperlink r:id="rId145">
        <w:r>
          <w:rPr>
            <w:rStyle w:val="Hyperlink"/>
          </w:rPr>
          <w:t xml:space="preserve">https://opendap.cr.usgs.gov/opendap/hyrax/MOD11A1.006/h17v08.ncml.nc4?MODIS_Grid_Daily_1km_LST_eos_cf_projection,LST_Day_1km</w:t>
        </w:r>
      </w:hyperlink>
      <w:r>
        <w:t xml:space="preserve"> </w:t>
      </w:r>
      <w:r>
        <w:t xml:space="preserve">[6093:6122][55:140][512:560],LST_Night_1km[6093:6122][55:140][512:560] ,time[6093:6122],YDim[55:140],XDim[512:560]</w:t>
      </w:r>
    </w:p>
    <w:p>
      <w:pPr>
        <w:pStyle w:val="BodyText"/>
      </w:pPr>
      <w:r>
        <w:t xml:space="preserve">permet de télécharger les bandes LST_Day_1km et LST_Night_1km (filtre dimensionnel) du produit MOD11A1.006 entre le 1er et le 30 janvier 2017 (filtre temporel) sur la zone délimitée par les coordonnées géographiques suivantes (en WGS84) : xmin: -5.82 ymin: 8.84 xmax: -5.41 ymax: 9.55 (coordonnées de la zone CI du projet REACT).</w:t>
      </w:r>
    </w:p>
    <w:p>
      <w:pPr>
        <w:pStyle w:val="BodyText"/>
      </w:pPr>
      <w:r>
        <w:t xml:space="preserve">La pluspart des données d’observation de la Terre produites par la NASA sont disponibles en accès OPeNDAP, mais utiliser ce protocole pour télécharger des données reste compliqué pour l’utilisateur néophyte (en particulier, la constitution de l’URL n’est pas triviale, comme le montre l’exemple précédent). Afin de faciliter l’extraction de ces données depuis les serveurs OPeNDAP, nous avons développé une librairie dans le langage de programmation R</w:t>
      </w:r>
      <w:r>
        <w:t xml:space="preserve"> </w:t>
      </w:r>
      <w:r>
        <w:t xml:space="preserve">(</w:t>
      </w:r>
      <w:hyperlink w:anchor="ref-r_core_team_r_2018">
        <w:r>
          <w:rPr>
            <w:rStyle w:val="Hyperlink"/>
          </w:rPr>
          <w:t xml:space="preserve">R Core Team, 2018</w:t>
        </w:r>
      </w:hyperlink>
      <w:r>
        <w:t xml:space="preserve">)</w:t>
      </w:r>
      <w:r>
        <w:t xml:space="preserve"> </w:t>
      </w:r>
      <w:r>
        <w:t xml:space="preserve">que nous avons nommée</w:t>
      </w:r>
      <w:r>
        <w:t xml:space="preserve"> </w:t>
      </w:r>
      <w:hyperlink r:id="rId146">
        <w:r>
          <w:rPr>
            <w:rStyle w:val="Hyperlink"/>
            <w:bCs/>
            <w:b/>
          </w:rPr>
          <w:t xml:space="preserve">opendapr</w:t>
        </w:r>
      </w:hyperlink>
      <w:r>
        <w:t xml:space="preserve">. La principale fonction de cette librairie, nommée</w:t>
      </w:r>
      <w:r>
        <w:t xml:space="preserve"> </w:t>
      </w:r>
      <w:r>
        <w:rPr>
          <w:rStyle w:val="VerbatimChar"/>
        </w:rPr>
        <w:t xml:space="preserve">odr_get_url</w:t>
      </w:r>
      <w:r>
        <w:t xml:space="preserve">, prend en argument une collection d’intérêt (par exemple</w:t>
      </w:r>
      <w:r>
        <w:t xml:space="preserve"> </w:t>
      </w:r>
      <w:r>
        <w:rPr>
          <w:rStyle w:val="VerbatimChar"/>
        </w:rPr>
        <w:t xml:space="preserve">MOD11A1.006</w:t>
      </w:r>
      <w:r>
        <w:t xml:space="preserve">), une période d’intérêt (sous forme d’une date de début et de fin), une aire géographique d’intérêt (sous forme des coordonnées géographiques qui la délimitent), et des bandes d’intérêts (par exemple</w:t>
      </w:r>
      <w:r>
        <w:t xml:space="preserve"> </w:t>
      </w:r>
      <w:r>
        <w:rPr>
          <w:rStyle w:val="VerbatimChar"/>
        </w:rPr>
        <w:t xml:space="preserve">LST_Night_1km</w:t>
      </w:r>
      <w:r>
        <w:t xml:space="preserve">), et constitue automatiquement l’URL qui permettra finalement de télécharger le produit satellitaire d’intérêt. Une seconde fonction,</w:t>
      </w:r>
      <w:r>
        <w:t xml:space="preserve"> </w:t>
      </w:r>
      <w:r>
        <w:rPr>
          <w:rStyle w:val="VerbatimChar"/>
        </w:rPr>
        <w:t xml:space="preserve">odr_download_data</w:t>
      </w:r>
      <w:r>
        <w:t xml:space="preserve">, permet ensuite de télécharger le produit en local. A ce jour, la librairie permet de télécharger 77 collections de produits satellitaires recueillis sur toute la surface terrestre (incluant les produits MODIS et GPM, mais aussi SMAP (humidité du sol) et VIIRS (successeur de MODIS)). Au delà de son utilisation pour les travaux de cette thèse, cette librairie présente l’intérêt de rendre l’accès à certains produits satellitaires plus aisé aux utilisateurs de R, en particulier si la connexion à internet de l’utilisateur est lente et/ou onéreuse, de promouvoir une forme de sobriété digitale dans les travaux de recherche scientifique, et de soutenir le mouvement des logiciels libres et ouverts (sur lesquels nous nous sommes exclusivement basés pour l’ensemble de nos travaux, cf. section</w:t>
      </w:r>
      <w:r>
        <w:t xml:space="preserve"> </w:t>
      </w:r>
      <w:r>
        <w:t xml:space="preserve">??</w:t>
      </w:r>
      <w:r>
        <w:t xml:space="preserve">).</w:t>
      </w:r>
      <w:r>
        <w:br/>
      </w:r>
    </w:p>
    <w:p>
      <w:pPr>
        <w:pStyle w:val="BodyText"/>
      </w:pPr>
      <w:r>
        <w:t xml:space="preserve">La libraire est disponible à l’adresse suivante :</w:t>
      </w:r>
      <w:r>
        <w:t xml:space="preserve"> </w:t>
      </w:r>
      <w:hyperlink r:id="rId146">
        <w:r>
          <w:rPr>
            <w:rStyle w:val="Hyperlink"/>
          </w:rPr>
          <w:t xml:space="preserve">https://github.com/ptaconet/opendapr</w:t>
        </w:r>
      </w:hyperlink>
      <w:r>
        <w:t xml:space="preserve">, et une description plus détaillée de la librairie est disponible en annexe</w:t>
      </w:r>
      <w:r>
        <w:t xml:space="preserve"> </w:t>
      </w:r>
      <w:r>
        <w:t xml:space="preserve">??</w:t>
      </w:r>
      <w:r>
        <w:t xml:space="preserve"> </w:t>
      </w:r>
      <w:r>
        <w:t xml:space="preserve">de ce manuscrit.</w:t>
      </w:r>
      <w:r>
        <w:br/>
      </w:r>
    </w:p>
    <w:p>
      <w:pPr>
        <w:pStyle w:val="BodyText"/>
      </w:pPr>
      <w:r>
        <w:t xml:space="preserve">Une fois les produits téléchargés localement, nous avons préparé les données dans l’objectif de constituer des variables statistiques exploitables dans des modèles. Nous avons rééchantillonné les produits GPM (précipitations) depuis leur résolution spatiale initiale (10 km) à une résolution d’un kilomètre, en utilisant une méthode d’interpolation bilinéaire. Nous avons également combiné les produits journaliers MODIS issus de Terra et Aqua, en conservant les valeurs de pixels les plus élevées (respectivement les plus basses) disponibles pour les températures diurnes (respectivement nocturnes). Nous avons finalement comblé les valeurs manquantes dans les pixels (principalement dues à la présence de nuages) en interpolant temporellement les valeurs disponibles aux dates les plus proches.</w:t>
      </w:r>
      <w:r>
        <w:br/>
      </w:r>
    </w:p>
    <w:p>
      <w:pPr>
        <w:pStyle w:val="BodyText"/>
      </w:pPr>
      <w:r>
        <w:t xml:space="preserve">La figure</w:t>
      </w:r>
      <w:r>
        <w:t xml:space="preserve"> </w:t>
      </w:r>
      <w:r>
        <w:t xml:space="preserve">25</w:t>
      </w:r>
      <w:r>
        <w:t xml:space="preserve"> </w:t>
      </w:r>
      <w:r>
        <w:t xml:space="preserve">montre les séries temporelles hebdomadaires des précipitations et températures sur les deux zones d’études, extraites des données GPM et MODIS LST. Le bandeau gris représente la variabilité spatiale autour des différents points de captures entomoliques. L’alternance des saisons sèches et pluvieuses sur les deux zones d’études est clairement visible sur les graphiques de précipitations. Notons que les températures diurnes sont plus élevées dans la zone de Diébougou que dans celle de Korhogo, que les températures noctunes sont relativement similaires, et que les précipitations en saison pluvieuse sont plus abondantes à Korhogo qu’à Diébougou.</w:t>
      </w:r>
    </w:p>
    <w:p>
      <w:pPr>
        <w:pStyle w:val="CaptionedFigure"/>
      </w:pPr>
      <w:r>
        <w:drawing>
          <wp:inline>
            <wp:extent cx="5334000" cy="4171555"/>
            <wp:effectExtent b="0" l="0" r="0" t="0"/>
            <wp:docPr descr="(#fig:plot-pastweather)Courbes des conditions météorologiques sur les deux zones d’étude. Les lignes noires indiquent la moyenne de la variables météorologique pour tous les points de collectes entomologiques pour la semaine considérée. Les bandeaux gris indiquent la moyenne ± l’écart type (i.e. la variabilité spatiale pour la semaine considérée). Les lignes rouges verticales indiquent les dates des collectes entomologiques. Les bandeaux bleus indiquent une période de six semaines précédant chaque collecte entomologique. Source des données : GPM (précipitations), MODIS (températures diurnes et nocturnes)" title="" id="148" name="Picture"/>
            <a:graphic>
              <a:graphicData uri="http://schemas.openxmlformats.org/drawingml/2006/picture">
                <pic:pic>
                  <pic:nvPicPr>
                    <pic:cNvPr descr="figure/plot_pastweather.pdf" id="149" name="Picture"/>
                    <pic:cNvPicPr>
                      <a:picLocks noChangeArrowheads="1" noChangeAspect="1"/>
                    </pic:cNvPicPr>
                  </pic:nvPicPr>
                  <pic:blipFill>
                    <a:blip r:embed="rId147"/>
                    <a:stretch>
                      <a:fillRect/>
                    </a:stretch>
                  </pic:blipFill>
                  <pic:spPr bwMode="auto">
                    <a:xfrm>
                      <a:off x="0" y="0"/>
                      <a:ext cx="5334000" cy="4171555"/>
                    </a:xfrm>
                    <a:prstGeom prst="rect">
                      <a:avLst/>
                    </a:prstGeom>
                    <a:noFill/>
                    <a:ln w="9525">
                      <a:noFill/>
                      <a:headEnd/>
                      <a:tailEnd/>
                    </a:ln>
                  </pic:spPr>
                </pic:pic>
              </a:graphicData>
            </a:graphic>
          </wp:inline>
        </w:drawing>
      </w:r>
    </w:p>
    <w:p>
      <w:pPr>
        <w:pStyle w:val="ImageCaption"/>
      </w:pPr>
      <w:r>
        <w:t xml:space="preserve">(#fig:plot-pastweather)Courbes des conditions météorologiques sur les deux zones d’étude. Les lignes noires indiquent la moyenne de la variables météorologique pour tous les points de collectes entomologiques pour la semaine considérée.</w:t>
      </w:r>
      <w:r>
        <w:t xml:space="preserve"> </w:t>
      </w:r>
      <w:r>
        <w:t xml:space="preserve">Les bandeaux gris indiquent la moyenne ± l’écart type (i.e. la variabilité spatiale pour la semaine considérée).</w:t>
      </w:r>
      <w:r>
        <w:t xml:space="preserve"> </w:t>
      </w:r>
      <w:r>
        <w:t xml:space="preserve">Les lignes rouges verticales indiquent les dates des collectes entomologiques.</w:t>
      </w:r>
      <w:r>
        <w:t xml:space="preserve"> </w:t>
      </w:r>
      <w:r>
        <w:t xml:space="preserve">Les bandeaux bleus indiquent une période de six semaines précédant chaque collecte entomologique.</w:t>
      </w:r>
      <w:r>
        <w:t xml:space="preserve"> </w:t>
      </w:r>
      <w:r>
        <w:t xml:space="preserve">Source des données : GPM (précipitations), MODIS (températures diurnes et nocturnes)</w:t>
      </w:r>
    </w:p>
    <w:bookmarkEnd w:id="150"/>
    <w:bookmarkStart w:id="160" w:name="landcover-data"/>
    <w:p>
      <w:pPr>
        <w:pStyle w:val="Heading3"/>
      </w:pPr>
      <w:r>
        <w:t xml:space="preserve">Données d’occupation du sol</w:t>
      </w:r>
    </w:p>
    <w:p>
      <w:pPr>
        <w:pStyle w:val="FirstParagraph"/>
      </w:pPr>
      <w:r>
        <w:t xml:space="preserve">La caractérisation de l’occupation des sols sur un territoire peut être obtenue par classification d’images satellitaires</w:t>
      </w:r>
      <w:r>
        <w:t xml:space="preserve"> </w:t>
      </w:r>
      <w:r>
        <w:t xml:space="preserve">(</w:t>
      </w:r>
      <w:hyperlink w:anchor="ref-anderson_land_1976">
        <w:r>
          <w:rPr>
            <w:rStyle w:val="Hyperlink"/>
          </w:rPr>
          <w:t xml:space="preserve">Anderson, Hardy, Roach, &amp; Witmer, 1976</w:t>
        </w:r>
      </w:hyperlink>
      <w:r>
        <w:t xml:space="preserve">)</w:t>
      </w:r>
      <w:r>
        <w:t xml:space="preserve"> </w:t>
      </w:r>
      <w:r>
        <w:t xml:space="preserve">ou aériennes</w:t>
      </w:r>
      <w:r>
        <w:t xml:space="preserve"> </w:t>
      </w:r>
      <w:r>
        <w:t xml:space="preserve">(</w:t>
      </w:r>
      <w:hyperlink w:anchor="ref-horning_mapping_2020">
        <w:r>
          <w:rPr>
            <w:rStyle w:val="Hyperlink"/>
          </w:rPr>
          <w:t xml:space="preserve">Horning, Fleishman, Ersts, Fogarty, &amp; Wohlfeil Zillig, 2020</w:t>
        </w:r>
      </w:hyperlink>
      <w:r>
        <w:t xml:space="preserve">)</w:t>
      </w:r>
      <w:r>
        <w:t xml:space="preserve">. Nous avons ainsi cartographié l’occupation du sol sur nos deux zones d’étude à l’aide d’une classification supervisée orientée objet de produits satellitaires d’observation de la Terre</w:t>
      </w:r>
      <w:r>
        <w:t xml:space="preserve"> </w:t>
      </w:r>
      <w:r>
        <w:t xml:space="preserve">(</w:t>
      </w:r>
      <w:hyperlink w:anchor="ref-blaschke_geographic_2008">
        <w:r>
          <w:rPr>
            <w:rStyle w:val="Hyperlink"/>
          </w:rPr>
          <w:t xml:space="preserve">Hay &amp; Castilla, 2008</w:t>
        </w:r>
      </w:hyperlink>
      <w:r>
        <w:t xml:space="preserve">)</w:t>
      </w:r>
      <w:r>
        <w:t xml:space="preserve">.</w:t>
      </w:r>
      <w:r>
        <w:br/>
      </w:r>
    </w:p>
    <w:p>
      <w:pPr>
        <w:pStyle w:val="BodyText"/>
      </w:pPr>
      <w:r>
        <w:t xml:space="preserve">Point méthode :</w:t>
      </w:r>
      <w:r>
        <w:t xml:space="preserve"> </w:t>
      </w:r>
      <w:r>
        <w:rPr>
          <w:bCs/>
          <w:b/>
        </w:rPr>
        <w:t xml:space="preserve">Concept et principales étapes d’une classification supervisée orientée objet de produits satellitaires d’observation de la Terre</w:t>
      </w:r>
    </w:p>
    <w:p>
      <w:pPr>
        <w:pStyle w:val="BodyText"/>
      </w:pPr>
      <w:r>
        <w:t xml:space="preserve">Le principe de la cartographie de l’occupation du sol par télédétéction spatiale est d’attribuer une classe d’occupation du sol à chaque pixel ou groupe de pixel d’une (ou plusieurs) image(s) géoréférencée(s). On peut distinguer deux grandes approches de classification d’images satellitaires à des fins de cartographie d’occupation du sol : i) l’approche orientée</w:t>
      </w:r>
      <w:r>
        <w:t xml:space="preserve"> </w:t>
      </w:r>
      <w:r>
        <w:t xml:space="preserve">‘</w:t>
      </w:r>
      <w:r>
        <w:t xml:space="preserve">pixel</w:t>
      </w:r>
      <w:r>
        <w:t xml:space="preserve">’</w:t>
      </w:r>
      <w:r>
        <w:t xml:space="preserve">, où chaque pixel de l’image satellitaire ou aérienne est classé individuellement sans tenir compte des pixels adjacents, et ii) l’approche orientée</w:t>
      </w:r>
      <w:r>
        <w:t xml:space="preserve"> </w:t>
      </w:r>
      <w:r>
        <w:t xml:space="preserve">‘</w:t>
      </w:r>
      <w:r>
        <w:t xml:space="preserve">objet</w:t>
      </w:r>
      <w:r>
        <w:t xml:space="preserve">’</w:t>
      </w:r>
      <w:r>
        <w:t xml:space="preserve"> </w:t>
      </w:r>
      <w:r>
        <w:t xml:space="preserve">(</w:t>
      </w:r>
      <w:hyperlink w:anchor="ref-blaschke_geographic_2008">
        <w:r>
          <w:rPr>
            <w:rStyle w:val="Hyperlink"/>
          </w:rPr>
          <w:t xml:space="preserve">Hay &amp; Castilla, 2008</w:t>
        </w:r>
      </w:hyperlink>
      <w:r>
        <w:t xml:space="preserve">)</w:t>
      </w:r>
      <w:r>
        <w:t xml:space="preserve">, où les pixels adjacents ayant des propriétés communes sont d’abord regroupés en</w:t>
      </w:r>
      <w:r>
        <w:t xml:space="preserve"> </w:t>
      </w:r>
      <w:r>
        <w:t xml:space="preserve">‘</w:t>
      </w:r>
      <w:r>
        <w:t xml:space="preserve">objets</w:t>
      </w:r>
      <w:r>
        <w:t xml:space="preserve">’</w:t>
      </w:r>
      <w:r>
        <w:t xml:space="preserve">, ces objets étant ensuite classés. L’approche orientée objet est particulièrement adaptée dans les cas où la résolution spatiale des pixels de l’image est largement inférieure à celle des entités constituant les classes d’occupation du sol que l’on cherche à extraire</w:t>
      </w:r>
      <w:r>
        <w:t xml:space="preserve"> </w:t>
      </w:r>
      <w:r>
        <w:t xml:space="preserve">(</w:t>
      </w:r>
      <w:hyperlink w:anchor="ref-blaschke_geographic_2008">
        <w:r>
          <w:rPr>
            <w:rStyle w:val="Hyperlink"/>
          </w:rPr>
          <w:t xml:space="preserve">Hay &amp; Castilla, 2008</w:t>
        </w:r>
      </w:hyperlink>
      <w:r>
        <w:t xml:space="preserve">)</w:t>
      </w:r>
      <w:r>
        <w:t xml:space="preserve"> </w:t>
      </w:r>
      <w:r>
        <w:t xml:space="preserve">: par exemple, si la résolution du pixel est de quelques (centi)mètres mais que l’on cherche à extraire des informations type</w:t>
      </w:r>
      <w:r>
        <w:t xml:space="preserve"> </w:t>
      </w:r>
      <w:r>
        <w:t xml:space="preserve">‘</w:t>
      </w:r>
      <w:r>
        <w:t xml:space="preserve">zones forestières</w:t>
      </w:r>
      <w:r>
        <w:t xml:space="preserve">’</w:t>
      </w:r>
      <w:r>
        <w:t xml:space="preserve">. Par ailleurs, l’approche orientée objet permet la classification non plus seulement sur les seules valeurs spectrales des pixels mais sur un ensemble de caractéristiques associées à l’objet : forme, relation avec les objets voisins, statistique sur les valeurs des pixels qui le compose, etc. Le qualificatif</w:t>
      </w:r>
      <w:r>
        <w:t xml:space="preserve"> </w:t>
      </w:r>
      <w:r>
        <w:t xml:space="preserve">‘</w:t>
      </w:r>
      <w:r>
        <w:t xml:space="preserve">supervisé</w:t>
      </w:r>
      <w:r>
        <w:t xml:space="preserve">’</w:t>
      </w:r>
      <w:r>
        <w:t xml:space="preserve"> </w:t>
      </w:r>
      <w:r>
        <w:t xml:space="preserve">fait référence, en modélisation statistique, au caractère connu</w:t>
      </w:r>
      <w:r>
        <w:t xml:space="preserve"> </w:t>
      </w:r>
      <w:r>
        <w:rPr>
          <w:iCs/>
          <w:i/>
        </w:rPr>
        <w:t xml:space="preserve">à priori</w:t>
      </w:r>
      <w:r>
        <w:t xml:space="preserve"> </w:t>
      </w:r>
      <w:r>
        <w:t xml:space="preserve">des classes (ici, d’occupation du sol) que l’on souhaite obtenir, par opposition à la classification non-supervisée où les classes sont automatiquement définies par un algorithme.</w:t>
      </w:r>
      <w:r>
        <w:br/>
      </w:r>
    </w:p>
    <w:p>
      <w:pPr>
        <w:pStyle w:val="BodyText"/>
      </w:pPr>
      <w:r>
        <w:t xml:space="preserve">Les principales étapes d’une classification supervisée orientée objet sont les suivantes</w:t>
      </w:r>
      <w:r>
        <w:t xml:space="preserve"> </w:t>
      </w:r>
      <w:r>
        <w:t xml:space="preserve">(</w:t>
      </w:r>
      <w:hyperlink w:anchor="ref-blaschke_geographic_2008">
        <w:r>
          <w:rPr>
            <w:rStyle w:val="Hyperlink"/>
          </w:rPr>
          <w:t xml:space="preserve">Hay &amp; Castilla, 2008</w:t>
        </w:r>
      </w:hyperlink>
      <w:r>
        <w:t xml:space="preserve">)</w:t>
      </w:r>
      <w:r>
        <w:t xml:space="preserve"> </w:t>
      </w:r>
      <w:r>
        <w:t xml:space="preserve">:</w:t>
      </w:r>
    </w:p>
    <w:p>
      <w:pPr>
        <w:numPr>
          <w:ilvl w:val="0"/>
          <w:numId w:val="1023"/>
        </w:numPr>
        <w:pStyle w:val="Compact"/>
      </w:pPr>
      <w:r>
        <w:rPr>
          <w:iCs/>
          <w:i/>
        </w:rPr>
        <w:t xml:space="preserve">Acquisition des produits satellitaires</w:t>
      </w:r>
      <w:r>
        <w:t xml:space="preserve"> </w:t>
      </w:r>
      <w:r>
        <w:t xml:space="preserve">: Il s’agit tout d’abord d’acquérir le(s) produit(s) satellitaire(s) qui sera(ont) utilisé(s) pour la classification. Notons que plusieurs produits satellitaires peuvent être utilisés, afin d’augmenter le volume et la diversité des informations capturées - et ainsi en théorie la qualité de la classification. Par exemple, il est possible d’utiliser une ou plusieurs images satellitaires optiques - qui donneront des informations sur la réfléctance des objets au sol dans plusieurs bandes spectrales - et un modèle numérique de terrain - qui donnera des informations sur le relief (altitude, pente, etc.).</w:t>
      </w:r>
    </w:p>
    <w:p>
      <w:pPr>
        <w:numPr>
          <w:ilvl w:val="0"/>
          <w:numId w:val="1023"/>
        </w:numPr>
        <w:pStyle w:val="Compact"/>
      </w:pPr>
      <w:r>
        <w:rPr>
          <w:iCs/>
          <w:i/>
        </w:rPr>
        <w:t xml:space="preserve">Constitution du jeu de données d’apprentissage et de validation</w:t>
      </w:r>
      <w:r>
        <w:t xml:space="preserve"> </w:t>
      </w:r>
      <w:r>
        <w:t xml:space="preserve">: Dans le cas d’une classification supervisée, il est nécéssaire de constituer un jeu de donnée d’apprentissage / validation composé de plusieurs échantillons (parcelles) géoréférencées de chaque classe d’occupation du sol présentes sur la zone d’étude (les</w:t>
      </w:r>
      <w:r>
        <w:t xml:space="preserve"> </w:t>
      </w:r>
      <w:r>
        <w:t xml:space="preserve">‘</w:t>
      </w:r>
      <w:r>
        <w:t xml:space="preserve">vérités terrain</w:t>
      </w:r>
      <w:r>
        <w:t xml:space="preserve">’</w:t>
      </w:r>
      <w:r>
        <w:t xml:space="preserve">). Ce travail nécéssite donc i) de définir la liste des classes d’occupation du sol potentiellement présentes sur le territoire d’intérêt ; et ii) de constituer le jeu de données d’apprentissage / validation, par des enquêtes sur le terrain ou par photo-interprétation.</w:t>
      </w:r>
    </w:p>
    <w:p>
      <w:pPr>
        <w:numPr>
          <w:ilvl w:val="0"/>
          <w:numId w:val="1023"/>
        </w:numPr>
        <w:pStyle w:val="Compact"/>
      </w:pPr>
      <w:r>
        <w:rPr>
          <w:iCs/>
          <w:i/>
        </w:rPr>
        <w:t xml:space="preserve">Prétraitements des produits satellitaires</w:t>
      </w:r>
      <w:r>
        <w:t xml:space="preserve"> </w:t>
      </w:r>
      <w:r>
        <w:t xml:space="preserve">: Le ou les produits satellitaires utilisés pour la classification peuvent nécéssiter un ensemble de prétraitements, selon leur degré de</w:t>
      </w:r>
      <w:r>
        <w:t xml:space="preserve"> </w:t>
      </w:r>
      <w:r>
        <w:t xml:space="preserve">‘</w:t>
      </w:r>
      <w:r>
        <w:t xml:space="preserve">préparation</w:t>
      </w:r>
      <w:r>
        <w:t xml:space="preserve">’</w:t>
      </w:r>
      <w:r>
        <w:t xml:space="preserve"> </w:t>
      </w:r>
      <w:r>
        <w:t xml:space="preserve">à l’étape d’acquisition. Parmi les prétraitements classiques, citons par exemple : la fusion des tuiles (dans le cas où la zone d’étude est composée de plusieurs tuiles satellitaires), la calibration optique (conversion des pixels dans le cas où les images satellitaires optiques ne sont pas prises sous les mêmes conditions atmosphériques), le traitement des pixels indisponibles (par exemple, à cause de la couverture nuageuse), ou encore l’orthorectification (afin d’améliorer le géoréférencement des images).</w:t>
      </w:r>
    </w:p>
    <w:p>
      <w:pPr>
        <w:numPr>
          <w:ilvl w:val="0"/>
          <w:numId w:val="1023"/>
        </w:numPr>
        <w:pStyle w:val="Compact"/>
      </w:pPr>
      <w:r>
        <w:rPr>
          <w:iCs/>
          <w:i/>
        </w:rPr>
        <w:t xml:space="preserve">Segmentation</w:t>
      </w:r>
      <w:r>
        <w:t xml:space="preserve"> </w:t>
      </w:r>
      <w:r>
        <w:t xml:space="preserve">: Cette étape est celle de la constitution des</w:t>
      </w:r>
      <w:r>
        <w:t xml:space="preserve"> </w:t>
      </w:r>
      <w:r>
        <w:t xml:space="preserve">‘</w:t>
      </w:r>
      <w:r>
        <w:t xml:space="preserve">objets</w:t>
      </w:r>
      <w:r>
        <w:t xml:space="preserve">’</w:t>
      </w:r>
      <w:r>
        <w:t xml:space="preserve"> </w:t>
      </w:r>
      <w:r>
        <w:t xml:space="preserve">par regroupement des pixels adjacents ayant des propriétés communes. Il existe plusieurs algorithmes de segmentation. Une des méthodes pour définir des objets consiste à agréger les pixels de proche en proche jusqu’à atteindre des seuils d’hétérogénéités fixés par l’utilisateur (liés à la taille des objets, à leurs formes, et aux valeurs contenues dans les pixels), interrompant le processus et délimitant l’objet</w:t>
      </w:r>
      <w:r>
        <w:t xml:space="preserve"> </w:t>
      </w:r>
      <w:r>
        <w:t xml:space="preserve">(</w:t>
      </w:r>
      <w:hyperlink w:anchor="ref-baatz_schape_2000">
        <w:r>
          <w:rPr>
            <w:rStyle w:val="Hyperlink"/>
          </w:rPr>
          <w:t xml:space="preserve">Baatz &amp; Schape, 2000</w:t>
        </w:r>
      </w:hyperlink>
      <w:r>
        <w:t xml:space="preserve">)</w:t>
      </w:r>
      <w:r>
        <w:t xml:space="preserve">.</w:t>
      </w:r>
    </w:p>
    <w:p>
      <w:pPr>
        <w:numPr>
          <w:ilvl w:val="0"/>
          <w:numId w:val="1023"/>
        </w:numPr>
        <w:pStyle w:val="Compact"/>
      </w:pPr>
      <w:r>
        <w:rPr>
          <w:iCs/>
          <w:i/>
        </w:rPr>
        <w:t xml:space="preserve">Constitution des variables prédictives</w:t>
      </w:r>
      <w:r>
        <w:t xml:space="preserve"> </w:t>
      </w:r>
      <w:r>
        <w:t xml:space="preserve">: Il s’agit ensuite de calculer pour chaque objet un ensemble d’attribut qui servira à entraîner le modèle sur le jeu d’entrainement, et à prédire sur les objets issus de la segmentation. Ces variables prédictives peuvent être basées sur des descripteurs statistiques des valeurs des pixels qui composent l’objet, sur la forme de l’objet, sa relation avec les objets voisins, etc.</w:t>
      </w:r>
    </w:p>
    <w:p>
      <w:pPr>
        <w:numPr>
          <w:ilvl w:val="0"/>
          <w:numId w:val="1023"/>
        </w:numPr>
        <w:pStyle w:val="Compact"/>
      </w:pPr>
      <w:r>
        <w:rPr>
          <w:iCs/>
          <w:i/>
        </w:rPr>
        <w:t xml:space="preserve">Classification</w:t>
      </w:r>
      <w:r>
        <w:t xml:space="preserve"> </w:t>
      </w:r>
      <w:r>
        <w:t xml:space="preserve">: Vient ensuite l’étape de la classification même : un modèle prédictif est d’abord entraîné sur les parcelles du jeu d’entraînement, puis est utilisé pour prédire la classe d’occupation du sol sur l’ensemble des objets de la zone d’étude.</w:t>
      </w:r>
    </w:p>
    <w:p>
      <w:pPr>
        <w:numPr>
          <w:ilvl w:val="0"/>
          <w:numId w:val="1023"/>
        </w:numPr>
        <w:pStyle w:val="Compact"/>
      </w:pPr>
      <w:r>
        <w:rPr>
          <w:iCs/>
          <w:i/>
        </w:rPr>
        <w:t xml:space="preserve">Evaluation de la qualité de la classification</w:t>
      </w:r>
      <w:r>
        <w:t xml:space="preserve"> </w:t>
      </w:r>
      <w:r>
        <w:t xml:space="preserve">: Enfin, la qualité de la classification est évaluée en prédisant l’occupation du sol sur le jeu de données de validation, puis en générant la matrice de confusion et les métriques de performances classiques afférentes (indices kappa,</w:t>
      </w:r>
      <w:r>
        <w:t xml:space="preserve"> </w:t>
      </w:r>
      <w:r>
        <w:rPr>
          <w:iCs/>
          <w:i/>
        </w:rPr>
        <w:t xml:space="preserve">accuracy</w:t>
      </w:r>
      <w:r>
        <w:t xml:space="preserve">, etc.)</w:t>
      </w:r>
    </w:p>
    <w:p>
      <w:pPr>
        <w:pStyle w:val="FirstParagraph"/>
      </w:pPr>
      <w:r>
        <w:rPr>
          <w:bCs/>
          <w:b/>
        </w:rPr>
        <w:t xml:space="preserve">Méthode.</w:t>
      </w:r>
      <w:r>
        <w:t xml:space="preserve"> </w:t>
      </w:r>
      <w:r>
        <w:t xml:space="preserve">[</w:t>
      </w:r>
      <w:r>
        <w:rPr>
          <w:iCs/>
          <w:i/>
        </w:rPr>
        <w:t xml:space="preserve">NB : la méthode est détaillée en annexe</w:t>
      </w:r>
      <w:r>
        <w:rPr>
          <w:iCs/>
          <w:i/>
        </w:rPr>
        <w:t xml:space="preserve"> </w:t>
      </w:r>
      <w:r>
        <w:rPr>
          <w:iCs/>
          <w:i/>
        </w:rPr>
        <w:t xml:space="preserve">??</w:t>
      </w:r>
      <w:r>
        <w:rPr>
          <w:iCs/>
          <w:i/>
        </w:rPr>
        <w:t xml:space="preserve">. Ci-après, nous la résumons en quelques lignes.</w:t>
      </w:r>
      <w:r>
        <w:t xml:space="preserve">] Nous avons généré des produits d’occupation du sol sur nos deux zones d’étude selon la méthode décrite ci-dessus. Les produits satellitaires utilisés étaient les suivants : images SPOT 6/7 (Satellite Pour l’Observation de la Terre), images Sentinel-2, et Modèle Numérique de Terrain (MNT) Shuttle Radar Topography Mission (SRTM)</w:t>
      </w:r>
      <w:r>
        <w:t xml:space="preserve"> </w:t>
      </w:r>
      <w:r>
        <w:t xml:space="preserve">(</w:t>
      </w:r>
      <w:hyperlink w:anchor="ref-nasa_jpl_nasa_2013">
        <w:r>
          <w:rPr>
            <w:rStyle w:val="Hyperlink"/>
          </w:rPr>
          <w:t xml:space="preserve">JPL, 2013</w:t>
        </w:r>
      </w:hyperlink>
      <w:r>
        <w:t xml:space="preserve">)</w:t>
      </w:r>
      <w:r>
        <w:t xml:space="preserve">. Nous avons mené des campagnes de terrain sur les deux zones, en novembre et décembre 2018, afin de constituer les jeux de données d’apprentissage et de validation. Nous avons établi les classes d’occupation du sol dans chacune des zones sur la base de recherches bibliographiques sur les types de paysages potentiellement rencontrés dans nos zones</w:t>
      </w:r>
      <w:r>
        <w:t xml:space="preserve"> </w:t>
      </w:r>
      <w:r>
        <w:t xml:space="preserve">(</w:t>
      </w:r>
      <w:hyperlink w:anchor="ref-aubreville_accord_1957">
        <w:r>
          <w:rPr>
            <w:rStyle w:val="Hyperlink"/>
          </w:rPr>
          <w:t xml:space="preserve">Aubréville, 1957</w:t>
        </w:r>
      </w:hyperlink>
      <w:r>
        <w:t xml:space="preserve">;</w:t>
      </w:r>
      <w:r>
        <w:t xml:space="preserve"> </w:t>
      </w:r>
      <w:hyperlink w:anchor="ref-cilss_2016_landscapes_nodate">
        <w:r>
          <w:rPr>
            <w:rStyle w:val="Hyperlink"/>
          </w:rPr>
          <w:t xml:space="preserve">CILSS, 2016</w:t>
        </w:r>
      </w:hyperlink>
      <w:r>
        <w:t xml:space="preserve">;</w:t>
      </w:r>
      <w:r>
        <w:t xml:space="preserve"> </w:t>
      </w:r>
      <w:hyperlink w:anchor="ref-oss_landcover_bf">
        <w:r>
          <w:rPr>
            <w:rStyle w:val="Hyperlink"/>
          </w:rPr>
          <w:t xml:space="preserve">OSS, 2015</w:t>
        </w:r>
      </w:hyperlink>
      <w:r>
        <w:t xml:space="preserve">)</w:t>
      </w:r>
      <w:r>
        <w:t xml:space="preserve"> </w:t>
      </w:r>
      <w:r>
        <w:t xml:space="preserve">et de nos observations du paysage sur le terrain. Nous avons collecté un minimum de 20 parcelles par classe, en tentant de les répartir au mieux sur l’étendue de chacune des zones. L’algorithme de segmentation utilisé est celui proposé par</w:t>
      </w:r>
      <w:r>
        <w:t xml:space="preserve"> </w:t>
      </w:r>
      <w:r>
        <w:t xml:space="preserve">(</w:t>
      </w:r>
      <w:hyperlink w:anchor="ref-baatz_schape_2000">
        <w:r>
          <w:rPr>
            <w:rStyle w:val="Hyperlink"/>
          </w:rPr>
          <w:t xml:space="preserve">Baatz &amp; Schape, 2000</w:t>
        </w:r>
      </w:hyperlink>
      <w:r>
        <w:t xml:space="preserve">)</w:t>
      </w:r>
      <w:r>
        <w:t xml:space="preserve">. Nous avons calculé au total une centaine de variables prédictives basés sur les images SPOT, Sentinel-2 et le MNT, ainsi que la forme des objets. Nous avons ensuite entrainé un modèle de forêts aléatoires</w:t>
      </w:r>
      <w:r>
        <w:t xml:space="preserve"> </w:t>
      </w:r>
      <w:r>
        <w:t xml:space="preserve">(</w:t>
      </w:r>
      <w:hyperlink w:anchor="ref-breiman_random_2001">
        <w:r>
          <w:rPr>
            <w:rStyle w:val="Hyperlink"/>
          </w:rPr>
          <w:t xml:space="preserve">Breiman, 2001a</w:t>
        </w:r>
      </w:hyperlink>
      <w:r>
        <w:t xml:space="preserve">)</w:t>
      </w:r>
      <w:r>
        <w:t xml:space="preserve"> </w:t>
      </w:r>
      <w:r>
        <w:t xml:space="preserve">sur le jeu de données d’entrainement. Nous avons généré la matrice de confusion en utilisant la procédure de validation interne aux forêts aléatoires (basée sur les observations</w:t>
      </w:r>
      <w:r>
        <w:t xml:space="preserve"> </w:t>
      </w:r>
      <w:r>
        <w:t xml:space="preserve">‘</w:t>
      </w:r>
      <w:r>
        <w:t xml:space="preserve">out-of-bag</w:t>
      </w:r>
      <w:r>
        <w:t xml:space="preserve">’</w:t>
      </w:r>
      <w:r>
        <w:t xml:space="preserve"> </w:t>
      </w:r>
      <w:r>
        <w:t xml:space="preserve">(</w:t>
      </w:r>
      <w:hyperlink w:anchor="ref-Breiman1996OUTOFBAGE">
        <w:r>
          <w:rPr>
            <w:rStyle w:val="Hyperlink"/>
          </w:rPr>
          <w:t xml:space="preserve">Breiman, 1996</w:t>
        </w:r>
      </w:hyperlink>
      <w:r>
        <w:t xml:space="preserve">)</w:t>
      </w:r>
      <w:r>
        <w:t xml:space="preserve">). En se basant sur cette matrice, nous avons ensuite regroupé, dans le jeu de données d’entrainement, les classes d’occupation du sol dont la confusion était importante (par exemple, zones de culture de mil et de sorgho) ; en prenant cependant soin de conserver la distinction entre les différentes classes à priori favorables à la présence de gîtes larvaires (par exemple, zones marécageuses et rizicoles) ou aux résistances physiologiques ou comportementales des vecteurs. Nous avons entrainé un modèle de forêt aléatoires sur cette nouvelle version du jeu de données d’entraînement puis l’avons utilisé pour prédire la classe d’occupation du sol sur chaque objet issu de la segmentation. Comme précédemment, nous avons généré la matrice de confusion puis en avons extrait un indice de qualité de la classification (</w:t>
      </w:r>
      <w:r>
        <w:rPr>
          <w:iCs/>
          <w:i/>
        </w:rPr>
        <w:t xml:space="preserve">accuracy</w:t>
      </w:r>
      <w:r>
        <w:t xml:space="preserve"> </w:t>
      </w:r>
      <w:r>
        <w:t xml:space="preserve">(</w:t>
      </w:r>
      <w:hyperlink w:anchor="ref-cohen_coefficient_1960">
        <w:r>
          <w:rPr>
            <w:rStyle w:val="Hyperlink"/>
          </w:rPr>
          <w:t xml:space="preserve">Cohen, 1960</w:t>
        </w:r>
      </w:hyperlink>
      <w:r>
        <w:t xml:space="preserve">)</w:t>
      </w:r>
      <w:r>
        <w:t xml:space="preserve">) mesurant la proportion d’objets correctement classés.</w:t>
      </w:r>
      <w:r>
        <w:br/>
      </w:r>
    </w:p>
    <w:p>
      <w:pPr>
        <w:pStyle w:val="BodyText"/>
      </w:pPr>
      <w:r>
        <w:t xml:space="preserve">Les différentes étapes de la classification sont résumées graphiquement dans la figure</w:t>
      </w:r>
      <w:r>
        <w:t xml:space="preserve"> </w:t>
      </w:r>
      <w:r>
        <w:t xml:space="preserve">42</w:t>
      </w:r>
      <w:r>
        <w:t xml:space="preserve"> </w:t>
      </w:r>
      <w:r>
        <w:t xml:space="preserve">disponible en annexe</w:t>
      </w:r>
      <w:r>
        <w:t xml:space="preserve"> </w:t>
      </w:r>
      <w:r>
        <w:t xml:space="preserve">??</w:t>
      </w:r>
      <w:r>
        <w:t xml:space="preserve">. Nous avons développé un script R implémentant l’ensemble des traitements (voir section</w:t>
      </w:r>
      <w:r>
        <w:t xml:space="preserve"> </w:t>
      </w:r>
      <w:r>
        <w:t xml:space="preserve">??</w:t>
      </w:r>
      <w:r>
        <w:t xml:space="preserve">).</w:t>
      </w:r>
      <w:r>
        <w:br/>
      </w:r>
    </w:p>
    <w:p>
      <w:pPr>
        <w:pStyle w:val="BodyText"/>
      </w:pPr>
      <w:r>
        <w:t xml:space="preserve">Le tableau</w:t>
      </w:r>
      <w:r>
        <w:t xml:space="preserve"> </w:t>
      </w:r>
      <w:r>
        <w:t xml:space="preserve">??</w:t>
      </w:r>
      <w:r>
        <w:t xml:space="preserve"> </w:t>
      </w:r>
      <w:r>
        <w:t xml:space="preserve">présente les classes d’occupation du sol initialement définies et finalement retenues. La définition de chacune des classes ainsi qu’un ensemble de photographies représentatives des principales classes d’occupation du sol, prises lors des campagnes de terrain, sont disponibles en annexe</w:t>
      </w:r>
      <w:r>
        <w:t xml:space="preserve"> </w:t>
      </w:r>
      <w:r>
        <w:t xml:space="preserve">??</w:t>
      </w:r>
      <w:r>
        <w:t xml:space="preserve">.</w:t>
      </w:r>
    </w:p>
    <w:p>
      <w:r>
        <w:br w:type="page"/>
      </w:r>
    </w:p>
    <w:p>
      <w:r>
        <w:br w:type="page"/>
      </w:r>
    </w:p>
    <w:p>
      <w:pPr>
        <w:pStyle w:val="BodyText"/>
      </w:pPr>
      <w:r>
        <w:t xml:space="preserve">Les matrices de confusion indiquaient que respectivement 84 % et 86 % des objets sur les zones de Diébougou et Korhogo étaient bien classés. Les cartes</w:t>
      </w:r>
      <w:r>
        <w:t xml:space="preserve"> </w:t>
      </w:r>
      <w:r>
        <w:t xml:space="preserve">26</w:t>
      </w:r>
      <w:r>
        <w:t xml:space="preserve"> </w:t>
      </w:r>
      <w:r>
        <w:t xml:space="preserve">et</w:t>
      </w:r>
      <w:r>
        <w:t xml:space="preserve"> </w:t>
      </w:r>
      <w:r>
        <w:t xml:space="preserve">27</w:t>
      </w:r>
      <w:r>
        <w:t xml:space="preserve"> </w:t>
      </w:r>
      <w:r>
        <w:t xml:space="preserve">présentent les produits finis d’occupation du sol sur les deux zones d’étude. Ces cartes incluent également le réseau hydrographique théorique, généré à partir du MNT SRTM (voir section</w:t>
      </w:r>
      <w:r>
        <w:t xml:space="preserve"> </w:t>
      </w:r>
      <w:r>
        <w:t xml:space="preserve">??</w:t>
      </w:r>
      <w:r>
        <w:t xml:space="preserve">).</w:t>
      </w:r>
    </w:p>
    <w:p>
      <w:pPr>
        <w:pStyle w:val="CaptionedFigure"/>
      </w:pPr>
      <w:r>
        <w:drawing>
          <wp:inline>
            <wp:extent cx="5334000" cy="4758028"/>
            <wp:effectExtent b="0" l="0" r="0" t="0"/>
            <wp:docPr descr="Figure 26: Carte d’occupation du sol résultante des travaux de classification sur la zone de Diébougou (BF)" title="" id="152" name="Picture"/>
            <a:graphic>
              <a:graphicData uri="http://schemas.openxmlformats.org/drawingml/2006/picture">
                <pic:pic>
                  <pic:nvPicPr>
                    <pic:cNvPr descr="figure/map_landcover_bf.pdf" id="153" name="Picture"/>
                    <pic:cNvPicPr>
                      <a:picLocks noChangeArrowheads="1" noChangeAspect="1"/>
                    </pic:cNvPicPr>
                  </pic:nvPicPr>
                  <pic:blipFill>
                    <a:blip r:embed="rId151"/>
                    <a:stretch>
                      <a:fillRect/>
                    </a:stretch>
                  </pic:blipFill>
                  <pic:spPr bwMode="auto">
                    <a:xfrm>
                      <a:off x="0" y="0"/>
                      <a:ext cx="5334000" cy="4758028"/>
                    </a:xfrm>
                    <a:prstGeom prst="rect">
                      <a:avLst/>
                    </a:prstGeom>
                    <a:noFill/>
                    <a:ln w="9525">
                      <a:noFill/>
                      <a:headEnd/>
                      <a:tailEnd/>
                    </a:ln>
                  </pic:spPr>
                </pic:pic>
              </a:graphicData>
            </a:graphic>
          </wp:inline>
        </w:drawing>
      </w:r>
    </w:p>
    <w:p>
      <w:pPr>
        <w:pStyle w:val="ImageCaption"/>
      </w:pPr>
      <w:r>
        <w:t xml:space="preserve">Figure 26: Carte d’occupation du sol résultante des travaux de classification sur la zone de Diébougou (BF)</w:t>
      </w:r>
    </w:p>
    <w:p>
      <w:r>
        <w:br w:type="page"/>
      </w:r>
    </w:p>
    <w:p>
      <w:pPr>
        <w:pStyle w:val="CaptionedFigure"/>
      </w:pPr>
      <w:r>
        <w:drawing>
          <wp:inline>
            <wp:extent cx="4047744" cy="7168896"/>
            <wp:effectExtent b="0" l="0" r="0" t="0"/>
            <wp:docPr descr="Figure 27: Carte d’occupation du sol résultante des travaux de classification sur la zone de Korhogo (CI)" title="" id="155" name="Picture"/>
            <a:graphic>
              <a:graphicData uri="http://schemas.openxmlformats.org/drawingml/2006/picture">
                <pic:pic>
                  <pic:nvPicPr>
                    <pic:cNvPr descr="figure/map_landcover_ci.jpg" id="156" name="Picture"/>
                    <pic:cNvPicPr>
                      <a:picLocks noChangeArrowheads="1" noChangeAspect="1"/>
                    </pic:cNvPicPr>
                  </pic:nvPicPr>
                  <pic:blipFill>
                    <a:blip r:embed="rId154"/>
                    <a:stretch>
                      <a:fillRect/>
                    </a:stretch>
                  </pic:blipFill>
                  <pic:spPr bwMode="auto">
                    <a:xfrm>
                      <a:off x="0" y="0"/>
                      <a:ext cx="4047744" cy="7168896"/>
                    </a:xfrm>
                    <a:prstGeom prst="rect">
                      <a:avLst/>
                    </a:prstGeom>
                    <a:noFill/>
                    <a:ln w="9525">
                      <a:noFill/>
                      <a:headEnd/>
                      <a:tailEnd/>
                    </a:ln>
                  </pic:spPr>
                </pic:pic>
              </a:graphicData>
            </a:graphic>
          </wp:inline>
        </w:drawing>
      </w:r>
    </w:p>
    <w:p>
      <w:pPr>
        <w:pStyle w:val="ImageCaption"/>
      </w:pPr>
      <w:r>
        <w:t xml:space="preserve">Figure 27: Carte d’occupation du sol résultante des travaux de classification sur la zone de Korhogo (CI)</w:t>
      </w:r>
    </w:p>
    <w:p>
      <w:r>
        <w:br w:type="page"/>
      </w:r>
    </w:p>
    <w:p>
      <w:pPr>
        <w:pStyle w:val="BodyText"/>
      </w:pPr>
      <w:r>
        <w:t xml:space="preserve">Enfin, la figure</w:t>
      </w:r>
      <w:r>
        <w:t xml:space="preserve"> </w:t>
      </w:r>
      <w:r>
        <w:t xml:space="preserve">28</w:t>
      </w:r>
      <w:r>
        <w:t xml:space="preserve"> </w:t>
      </w:r>
      <w:r>
        <w:t xml:space="preserve">présente la proportion de surface occupé par chaque classe d’occupation du sol dans l’ensemble de la zone d’étude.</w:t>
      </w:r>
    </w:p>
    <w:p>
      <w:pPr>
        <w:pStyle w:val="CaptionedFigure"/>
      </w:pPr>
      <w:r>
        <w:drawing>
          <wp:inline>
            <wp:extent cx="4620126" cy="3696101"/>
            <wp:effectExtent b="0" l="0" r="0" t="0"/>
            <wp:docPr descr="Figure 28: Proportion de surface occupée par chaque classe d’occupation du sol sur chaque zone d’étude" title="" id="158" name="Picture"/>
            <a:graphic>
              <a:graphicData uri="http://schemas.openxmlformats.org/drawingml/2006/picture">
                <pic:pic>
                  <pic:nvPicPr>
                    <pic:cNvPr descr="these_taconet_files/figure-docx/landcover-stats-1.png" id="159" name="Picture"/>
                    <pic:cNvPicPr>
                      <a:picLocks noChangeArrowheads="1" noChangeAspect="1"/>
                    </pic:cNvPicPr>
                  </pic:nvPicPr>
                  <pic:blipFill>
                    <a:blip r:embed="rId1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28: Proportion de surface occupée par chaque classe d’occupation du sol sur chaque zone d’étude</w:t>
      </w:r>
    </w:p>
    <w:p>
      <w:pPr>
        <w:pStyle w:val="BodyText"/>
      </w:pPr>
      <w:r>
        <w:t xml:space="preserve">Nous pouvons noter que la zone de Diébougou était dominée par les savanes ligneuses (52% de la surface totale), les cultures non-inondées (25%) et les prairies non-inondées (7%). La zone de Korhogo, de son côté, était principalement composée de cultures non-inondées (24%), de milieux forestiers non-humides (18%) et de plantations d’anacardiers et mangues (17%). Les rizicultures et cultures de coton y représentaient chacune 9% de la surface totale.</w:t>
      </w:r>
    </w:p>
    <w:bookmarkEnd w:id="160"/>
    <w:bookmarkStart w:id="161" w:name="hydro-data"/>
    <w:p>
      <w:pPr>
        <w:pStyle w:val="Heading3"/>
      </w:pPr>
      <w:r>
        <w:t xml:space="preserve">Données sur le réseau hydrographique théorique</w:t>
      </w:r>
    </w:p>
    <w:p>
      <w:pPr>
        <w:pStyle w:val="FirstParagraph"/>
      </w:pPr>
      <w:r>
        <w:t xml:space="preserve">Le réseau hydrographique (cad. les rivières) est susceptible de produire des gîtes larvaires pour les anophèles. Nous avons utilisé le MNT SRTM pour produire le réseau hydrographique théorique sur nos zones d’étude. Nous avons tout d’abord produit une couche raster d’accumulation de flux à partir du MNT</w:t>
      </w:r>
      <w:r>
        <w:t xml:space="preserve"> </w:t>
      </w:r>
      <w:r>
        <w:t xml:space="preserve">(</w:t>
      </w:r>
      <w:hyperlink w:anchor="ref-jenson_extracting_1988">
        <w:r>
          <w:rPr>
            <w:rStyle w:val="Hyperlink"/>
          </w:rPr>
          <w:t xml:space="preserve">Jenson &amp; Domingue, 1988</w:t>
        </w:r>
      </w:hyperlink>
      <w:r>
        <w:t xml:space="preserve">)</w:t>
      </w:r>
      <w:r>
        <w:t xml:space="preserve">, puis avons séléctionné tous les pixels dont la valeur d’accumulation de flux était supérieur à un seuil défini visuellement par superposition avec une image satellite THRS. Ces seuil étaient de 1000 pour la zone BF et 800 pour la zone CI. Les réseaux hydrographiques théoriques sont représentés sur les cartes</w:t>
      </w:r>
      <w:r>
        <w:t xml:space="preserve"> </w:t>
      </w:r>
      <w:r>
        <w:t xml:space="preserve">26</w:t>
      </w:r>
      <w:r>
        <w:t xml:space="preserve"> </w:t>
      </w:r>
      <w:r>
        <w:t xml:space="preserve">et</w:t>
      </w:r>
      <w:r>
        <w:t xml:space="preserve"> </w:t>
      </w:r>
      <w:r>
        <w:t xml:space="preserve">27</w:t>
      </w:r>
      <w:r>
        <w:t xml:space="preserve">.</w:t>
      </w:r>
    </w:p>
    <w:bookmarkEnd w:id="161"/>
    <w:bookmarkEnd w:id="162"/>
    <w:bookmarkStart w:id="165" w:name="Xbd842b5098873b7909dded01770c818afdc072e"/>
    <w:p>
      <w:pPr>
        <w:pStyle w:val="Heading2"/>
      </w:pPr>
      <w:r>
        <w:t xml:space="preserve">Ressources informatiques : codes R développés et logiciels utilisés</w:t>
      </w:r>
    </w:p>
    <w:bookmarkStart w:id="163" w:name="scripts"/>
    <w:p>
      <w:pPr>
        <w:pStyle w:val="Heading3"/>
      </w:pPr>
      <w:r>
        <w:t xml:space="preserve">Codes R développés</w:t>
      </w:r>
    </w:p>
    <w:p>
      <w:pPr>
        <w:pStyle w:val="FirstParagraph"/>
      </w:pPr>
      <w:r>
        <w:t xml:space="preserve">L’ensemble des travaux d’extraction et préparation des données décrits dans ce chapitre a été programmé, sous formes de codes informatiques, dans le langage de programmation R</w:t>
      </w:r>
      <w:r>
        <w:t xml:space="preserve"> </w:t>
      </w:r>
      <w:r>
        <w:t xml:space="preserve">(</w:t>
      </w:r>
      <w:hyperlink w:anchor="ref-r_core_team_r_2018">
        <w:r>
          <w:rPr>
            <w:rStyle w:val="Hyperlink"/>
          </w:rPr>
          <w:t xml:space="preserve">R Core Team, 2018</w:t>
        </w:r>
      </w:hyperlink>
      <w:r>
        <w:t xml:space="preserve">)</w:t>
      </w:r>
      <w:r>
        <w:t xml:space="preserve"> </w:t>
      </w:r>
      <w:r>
        <w:t xml:space="preserve">sous l’environnement RStudio</w:t>
      </w:r>
      <w:r>
        <w:t xml:space="preserve"> </w:t>
      </w:r>
      <w:r>
        <w:t xml:space="preserve">(</w:t>
      </w:r>
      <w:hyperlink w:anchor="ref-rstudio_team_rstudio_2020">
        <w:r>
          <w:rPr>
            <w:rStyle w:val="Hyperlink"/>
          </w:rPr>
          <w:t xml:space="preserve">RStudio Team, 2020</w:t>
        </w:r>
      </w:hyperlink>
      <w:r>
        <w:t xml:space="preserve">)</w:t>
      </w:r>
      <w:r>
        <w:t xml:space="preserve">. Les travaux de modélisation de l’ensemble des articles à suivre ont eux aussi été scriptés en R.</w:t>
      </w:r>
      <w:r>
        <w:br/>
      </w:r>
    </w:p>
    <w:p>
      <w:pPr>
        <w:pStyle w:val="BodyText"/>
      </w:pPr>
      <w:r>
        <w:t xml:space="preserve">Le niveau de description, généricité, réutilisation diffère selon les codes. Le plus abouti en ce sens est la librairie</w:t>
      </w:r>
      <w:r>
        <w:t xml:space="preserve"> </w:t>
      </w:r>
      <w:r>
        <w:rPr>
          <w:rStyle w:val="VerbatimChar"/>
        </w:rPr>
        <w:t xml:space="preserve">opendapr</w:t>
      </w:r>
      <w:r>
        <w:t xml:space="preserve">, puisqu’il s’agit d’une réelle libraire R. D’une manière générale, les codes d’extraction et préparation des données ont un niveau acceptable de description et généricité (à savoir, ils peuvent être réutilisés tout ou partie à moindre coût par un utilisateur de R). Les codes de modélisation statistique sont moins décrits et reproductibles. Quel que soit le niveau de généricité et description, nous avons archivé l’ensemble de ces codes en leur état à l’issue des travaux de thèse, afin d’en conserver une copie pérenne et conforme aux travaux effectués. Le dossier contenant les codes est disponible à l’adresse suivante : [doi zotero]. L’architecture du dossier est décrite dans le tableau</w:t>
      </w:r>
      <w:r>
        <w:t xml:space="preserve"> </w:t>
      </w:r>
      <w:r>
        <w:t xml:space="preserve">??</w:t>
      </w:r>
      <w:r>
        <w:t xml:space="preserve">.</w:t>
      </w:r>
    </w:p>
    <w:bookmarkEnd w:id="163"/>
    <w:bookmarkStart w:id="164" w:name="software"/>
    <w:p>
      <w:pPr>
        <w:pStyle w:val="Heading3"/>
      </w:pPr>
      <w:r>
        <w:t xml:space="preserve">Logiciels et librairies utilisés</w:t>
      </w:r>
    </w:p>
    <w:p>
      <w:pPr>
        <w:pStyle w:val="FirstParagraph"/>
      </w:pPr>
      <w:r>
        <w:t xml:space="preserve">Les logiciels et librairies utilisées pour nos travaux de thèse étaient tous libres d’accès et à code source ouvert.</w:t>
      </w:r>
      <w:r>
        <w:br/>
      </w:r>
    </w:p>
    <w:p>
      <w:pPr>
        <w:pStyle w:val="BodyText"/>
      </w:pPr>
      <w:r>
        <w:t xml:space="preserve">Les données d’occupation du sol (section</w:t>
      </w:r>
      <w:r>
        <w:t xml:space="preserve"> </w:t>
      </w:r>
      <w:r>
        <w:t xml:space="preserve">??</w:t>
      </w:r>
      <w:r>
        <w:t xml:space="preserve">) et de réseau hydrographique théorique (section</w:t>
      </w:r>
      <w:r>
        <w:t xml:space="preserve"> </w:t>
      </w:r>
      <w:r>
        <w:t xml:space="preserve">??</w:t>
      </w:r>
      <w:r>
        <w:t xml:space="preserve">) ont été générés en utilisant les librairies R suivantes :</w:t>
      </w:r>
      <w:r>
        <w:t xml:space="preserve"> </w:t>
      </w:r>
      <w:r>
        <w:rPr>
          <w:rStyle w:val="VerbatimChar"/>
        </w:rPr>
        <w:t xml:space="preserve">RSAGA</w:t>
      </w:r>
      <w:r>
        <w:t xml:space="preserve"> </w:t>
      </w:r>
      <w:r>
        <w:t xml:space="preserve">(</w:t>
      </w:r>
      <w:hyperlink w:anchor="ref-brenning_rsaga_2018">
        <w:r>
          <w:rPr>
            <w:rStyle w:val="Hyperlink"/>
          </w:rPr>
          <w:t xml:space="preserve">Brenning, Bangs, &amp; Becker, 2018</w:t>
        </w:r>
      </w:hyperlink>
      <w:r>
        <w:t xml:space="preserve">)</w:t>
      </w:r>
      <w:r>
        <w:t xml:space="preserve">,</w:t>
      </w:r>
      <w:r>
        <w:t xml:space="preserve"> </w:t>
      </w:r>
      <w:r>
        <w:rPr>
          <w:rStyle w:val="VerbatimChar"/>
        </w:rPr>
        <w:t xml:space="preserve">rgrass7</w:t>
      </w:r>
      <w:r>
        <w:t xml:space="preserve"> </w:t>
      </w:r>
      <w:r>
        <w:t xml:space="preserve">(</w:t>
      </w:r>
      <w:hyperlink w:anchor="ref-bivand_rgrass7_2018">
        <w:r>
          <w:rPr>
            <w:rStyle w:val="Hyperlink"/>
          </w:rPr>
          <w:t xml:space="preserve">Bivand, 2018</w:t>
        </w:r>
      </w:hyperlink>
      <w:r>
        <w:t xml:space="preserve">)</w:t>
      </w:r>
      <w:r>
        <w:t xml:space="preserve">,</w:t>
      </w:r>
      <w:r>
        <w:t xml:space="preserve"> </w:t>
      </w:r>
      <w:r>
        <w:rPr>
          <w:rStyle w:val="VerbatimChar"/>
        </w:rPr>
        <w:t xml:space="preserve">raster</w:t>
      </w:r>
      <w:r>
        <w:t xml:space="preserve"> </w:t>
      </w:r>
      <w:r>
        <w:t xml:space="preserve">(</w:t>
      </w:r>
      <w:hyperlink w:anchor="ref-hijmans_raster_2020">
        <w:r>
          <w:rPr>
            <w:rStyle w:val="Hyperlink"/>
          </w:rPr>
          <w:t xml:space="preserve">Hijmans, 2020</w:t>
        </w:r>
      </w:hyperlink>
      <w:r>
        <w:t xml:space="preserve">)</w:t>
      </w:r>
      <w:r>
        <w:t xml:space="preserve">,</w:t>
      </w:r>
      <w:r>
        <w:t xml:space="preserve"> </w:t>
      </w:r>
      <w:r>
        <w:rPr>
          <w:rStyle w:val="VerbatimChar"/>
        </w:rPr>
        <w:t xml:space="preserve">sf</w:t>
      </w:r>
      <w:r>
        <w:t xml:space="preserve"> </w:t>
      </w:r>
      <w:r>
        <w:t xml:space="preserve">(</w:t>
      </w:r>
      <w:hyperlink w:anchor="ref-pebesma_simple_2018">
        <w:r>
          <w:rPr>
            <w:rStyle w:val="Hyperlink"/>
          </w:rPr>
          <w:t xml:space="preserve">Pebesma, 2018</w:t>
        </w:r>
      </w:hyperlink>
      <w:r>
        <w:t xml:space="preserve">)</w:t>
      </w:r>
      <w:r>
        <w:t xml:space="preserve">,</w:t>
      </w:r>
      <w:r>
        <w:t xml:space="preserve"> </w:t>
      </w:r>
      <w:r>
        <w:rPr>
          <w:rStyle w:val="VerbatimChar"/>
        </w:rPr>
        <w:t xml:space="preserve">rgdal</w:t>
      </w:r>
      <w:r>
        <w:t xml:space="preserve"> </w:t>
      </w:r>
      <w:r>
        <w:t xml:space="preserve">(</w:t>
      </w:r>
      <w:hyperlink w:anchor="ref-bivand_rgdal_2019">
        <w:r>
          <w:rPr>
            <w:rStyle w:val="Hyperlink"/>
          </w:rPr>
          <w:t xml:space="preserve">Bivand, Keitt, &amp; Rowlingson, 2019</w:t>
        </w:r>
      </w:hyperlink>
      <w:r>
        <w:t xml:space="preserve">)</w:t>
      </w:r>
      <w:r>
        <w:t xml:space="preserve"> </w:t>
      </w:r>
      <w:r>
        <w:t xml:space="preserve">et</w:t>
      </w:r>
      <w:r>
        <w:t xml:space="preserve"> </w:t>
      </w:r>
      <w:r>
        <w:rPr>
          <w:rStyle w:val="VerbatimChar"/>
        </w:rPr>
        <w:t xml:space="preserve">randomForest</w:t>
      </w:r>
      <w:r>
        <w:t xml:space="preserve"> </w:t>
      </w:r>
      <w:r>
        <w:t xml:space="preserve">(</w:t>
      </w:r>
      <w:hyperlink w:anchor="ref-liaw_classification_2002">
        <w:r>
          <w:rPr>
            <w:rStyle w:val="Hyperlink"/>
          </w:rPr>
          <w:t xml:space="preserve">Liaw &amp; Wiener, 2002</w:t>
        </w:r>
      </w:hyperlink>
      <w:r>
        <w:t xml:space="preserve">)</w:t>
      </w:r>
      <w:r>
        <w:t xml:space="preserve">. Certaines de ces librairies utilisent en arrière-plan les logiciels libres SAGA GIS</w:t>
      </w:r>
      <w:r>
        <w:t xml:space="preserve"> </w:t>
      </w:r>
      <w:r>
        <w:t xml:space="preserve">(</w:t>
      </w:r>
      <w:hyperlink w:anchor="ref-conrad_system_2015">
        <w:r>
          <w:rPr>
            <w:rStyle w:val="Hyperlink"/>
          </w:rPr>
          <w:t xml:space="preserve">Conrad et al., 2015</w:t>
        </w:r>
      </w:hyperlink>
      <w:r>
        <w:t xml:space="preserve">)</w:t>
      </w:r>
      <w:r>
        <w:t xml:space="preserve"> </w:t>
      </w:r>
      <w:r>
        <w:t xml:space="preserve">et GRASS GIS</w:t>
      </w:r>
      <w:r>
        <w:t xml:space="preserve"> </w:t>
      </w:r>
      <w:r>
        <w:t xml:space="preserve">(</w:t>
      </w:r>
      <w:hyperlink w:anchor="ref-GRASS_GIS_software">
        <w:r>
          <w:rPr>
            <w:rStyle w:val="Hyperlink"/>
          </w:rPr>
          <w:t xml:space="preserve">GRASS Development Team, 2017</w:t>
        </w:r>
      </w:hyperlink>
      <w:r>
        <w:t xml:space="preserve">)</w:t>
      </w:r>
      <w:r>
        <w:t xml:space="preserve">. La segmentation a été réalisée grâce à l’algorithme</w:t>
      </w:r>
      <w:r>
        <w:t xml:space="preserve"> </w:t>
      </w:r>
      <w:r>
        <w:t xml:space="preserve">‘</w:t>
      </w:r>
      <w:r>
        <w:t xml:space="preserve">Generic Region Merging Segmentation</w:t>
      </w:r>
      <w:r>
        <w:t xml:space="preserve">’</w:t>
      </w:r>
      <w:r>
        <w:t xml:space="preserve"> </w:t>
      </w:r>
      <w:r>
        <w:t xml:space="preserve">implémenté dans le logiciel libre Orfeo Toolbox</w:t>
      </w:r>
      <w:r>
        <w:t xml:space="preserve"> </w:t>
      </w:r>
      <w:r>
        <w:t xml:space="preserve">(</w:t>
      </w:r>
      <w:hyperlink w:anchor="ref-grizonnet2017orfeo">
        <w:r>
          <w:rPr>
            <w:rStyle w:val="Hyperlink"/>
          </w:rPr>
          <w:t xml:space="preserve">Grizonnet et al., 2017</w:t>
        </w:r>
      </w:hyperlink>
      <w:r>
        <w:t xml:space="preserve">)</w:t>
      </w:r>
      <w:r>
        <w:t xml:space="preserve">.</w:t>
      </w:r>
      <w:r>
        <w:br/>
      </w:r>
    </w:p>
    <w:p>
      <w:pPr>
        <w:pStyle w:val="BodyText"/>
      </w:pPr>
      <w:r>
        <w:t xml:space="preserve">Désireux de soutenir le mouvement du logiciel libre, nous avons rédigé au cours de la thèse un tutoriel d’initiation à la télédétéction spatiale (cartographie de l’occupation/utilisation du sol) sur logiciel libre (QGIS</w:t>
      </w:r>
      <w:r>
        <w:t xml:space="preserve"> </w:t>
      </w:r>
      <w:r>
        <w:t xml:space="preserve">(</w:t>
      </w:r>
      <w:hyperlink w:anchor="ref-qgis_development_team_qgis_2021">
        <w:r>
          <w:rPr>
            <w:rStyle w:val="Hyperlink"/>
          </w:rPr>
          <w:t xml:space="preserve">QGIS Development Team, 2021</w:t>
        </w:r>
      </w:hyperlink>
      <w:r>
        <w:t xml:space="preserve">)</w:t>
      </w:r>
      <w:r>
        <w:t xml:space="preserve"> </w:t>
      </w:r>
      <w:r>
        <w:t xml:space="preserve">et SAGA GIS). Le tutoriel est disponible en annexe</w:t>
      </w:r>
      <w:r>
        <w:t xml:space="preserve"> </w:t>
      </w:r>
      <w:r>
        <w:t xml:space="preserve">??</w:t>
      </w:r>
      <w:r>
        <w:t xml:space="preserve">. Nous l’avons utilisé au cours d’une formation en télédétéction dispensée à des étudiants de master.</w:t>
      </w:r>
      <w:r>
        <w:br/>
      </w:r>
    </w:p>
    <w:p>
      <w:pPr>
        <w:pStyle w:val="BodyText"/>
      </w:pPr>
      <w:r>
        <w:t xml:space="preserve">Les travaux de modélisation dans les études qui suivent ont aux aussi nécéssité l’utilisation de nombreuses librairies R, qui sont précisées dans les sections</w:t>
      </w:r>
      <w:r>
        <w:t xml:space="preserve"> </w:t>
      </w:r>
      <w:r>
        <w:rPr>
          <w:iCs/>
          <w:i/>
        </w:rPr>
        <w:t xml:space="preserve">Matériel et méthode</w:t>
      </w:r>
      <w:r>
        <w:t xml:space="preserve"> </w:t>
      </w:r>
      <w:r>
        <w:t xml:space="preserve">des articles respectifs.</w:t>
      </w:r>
      <w:r>
        <w:br/>
      </w:r>
    </w:p>
    <w:p>
      <w:pPr>
        <w:pStyle w:val="BodyText"/>
      </w:pPr>
      <w:r>
        <w:t xml:space="preserve">Enfin, l’ensemble des travaux de thèse a été réalisé sur un ordinateur équipé d’Ubuntu, un système d’exploitation à code source ouvert utilisant le noyau Linux ; et ce manuscrit de thèse a été rédigé en</w:t>
      </w:r>
      <w:r>
        <w:t xml:space="preserve"> </w:t>
      </w:r>
      <w:r>
        <w:t xml:space="preserve">en s’appuyant sur les librairies R</w:t>
      </w:r>
      <w:r>
        <w:t xml:space="preserve"> </w:t>
      </w:r>
      <w:r>
        <w:rPr>
          <w:rStyle w:val="VerbatimChar"/>
        </w:rPr>
        <w:t xml:space="preserve">rmarkdown</w:t>
      </w:r>
      <w:r>
        <w:t xml:space="preserve"> </w:t>
      </w:r>
      <w:r>
        <w:t xml:space="preserve">(</w:t>
      </w:r>
      <w:hyperlink w:anchor="ref-markdown">
        <w:r>
          <w:rPr>
            <w:rStyle w:val="Hyperlink"/>
          </w:rPr>
          <w:t xml:space="preserve">Allaire, Horner, Xie, Marti, &amp; Porte, 2019</w:t>
        </w:r>
      </w:hyperlink>
      <w:r>
        <w:t xml:space="preserve">)</w:t>
      </w:r>
      <w:r>
        <w:t xml:space="preserve">,</w:t>
      </w:r>
      <w:r>
        <w:t xml:space="preserve"> </w:t>
      </w:r>
      <w:r>
        <w:rPr>
          <w:rStyle w:val="VerbatimChar"/>
        </w:rPr>
        <w:t xml:space="preserve">knitr</w:t>
      </w:r>
      <w:r>
        <w:t xml:space="preserve"> </w:t>
      </w:r>
      <w:r>
        <w:t xml:space="preserve">(</w:t>
      </w:r>
      <w:hyperlink w:anchor="ref-knitr">
        <w:r>
          <w:rPr>
            <w:rStyle w:val="Hyperlink"/>
          </w:rPr>
          <w:t xml:space="preserve">Xie, 2020</w:t>
        </w:r>
      </w:hyperlink>
      <w:r>
        <w:t xml:space="preserve">)</w:t>
      </w:r>
      <w:r>
        <w:t xml:space="preserve">,</w:t>
      </w:r>
      <w:r>
        <w:t xml:space="preserve"> </w:t>
      </w:r>
      <w:r>
        <w:rPr>
          <w:rStyle w:val="VerbatimChar"/>
        </w:rPr>
        <w:t xml:space="preserve">bookdown</w:t>
      </w:r>
      <w:r>
        <w:t xml:space="preserve"> </w:t>
      </w:r>
      <w:r>
        <w:t xml:space="preserve">(</w:t>
      </w:r>
      <w:hyperlink w:anchor="ref-bookdown">
        <w:r>
          <w:rPr>
            <w:rStyle w:val="Hyperlink"/>
          </w:rPr>
          <w:t xml:space="preserve">Xie, 2019</w:t>
        </w:r>
      </w:hyperlink>
      <w:r>
        <w:t xml:space="preserve">)</w:t>
      </w:r>
      <w:r>
        <w:t xml:space="preserve">,</w:t>
      </w:r>
      <w:r>
        <w:t xml:space="preserve"> </w:t>
      </w:r>
      <w:r>
        <w:rPr>
          <w:rStyle w:val="VerbatimChar"/>
        </w:rPr>
        <w:t xml:space="preserve">thesisdown</w:t>
      </w:r>
      <w:r>
        <w:t xml:space="preserve"> </w:t>
      </w:r>
      <w:r>
        <w:t xml:space="preserve">(</w:t>
      </w:r>
      <w:hyperlink w:anchor="ref-thesisdown">
        <w:r>
          <w:rPr>
            <w:rStyle w:val="Hyperlink"/>
          </w:rPr>
          <w:t xml:space="preserve">Ismay &amp; Solomon, n.d.</w:t>
        </w:r>
      </w:hyperlink>
      <w:r>
        <w:t xml:space="preserve">)</w:t>
      </w:r>
      <w:r>
        <w:t xml:space="preserve">,</w:t>
      </w:r>
      <w:r>
        <w:t xml:space="preserve"> </w:t>
      </w:r>
      <w:r>
        <w:rPr>
          <w:rStyle w:val="VerbatimChar"/>
        </w:rPr>
        <w:t xml:space="preserve">kableExtra</w:t>
      </w:r>
      <w:r>
        <w:t xml:space="preserve"> </w:t>
      </w:r>
      <w:r>
        <w:t xml:space="preserve">(</w:t>
      </w:r>
      <w:hyperlink w:anchor="ref-kableExtra">
        <w:r>
          <w:rPr>
            <w:rStyle w:val="Hyperlink"/>
          </w:rPr>
          <w:t xml:space="preserve">Zhu, 2019</w:t>
        </w:r>
      </w:hyperlink>
      <w:r>
        <w:t xml:space="preserve">)</w:t>
      </w:r>
      <w:r>
        <w:t xml:space="preserve">.</w:t>
      </w:r>
    </w:p>
    <w:bookmarkEnd w:id="164"/>
    <w:bookmarkEnd w:id="165"/>
    <w:bookmarkEnd w:id="166"/>
    <w:bookmarkStart w:id="198" w:name="data-mining-abundances"/>
    <w:p>
      <w:pPr>
        <w:pStyle w:val="Heading1"/>
      </w:pPr>
      <w:r>
        <w:t xml:space="preserve">Article n°1 - Modélisation des dynamiques spatio-temporelles des abondances des vecteurs</w:t>
      </w:r>
    </w:p>
    <w:p>
      <w:pPr>
        <w:pStyle w:val="FirstParagraph"/>
      </w:pPr>
    </w:p>
    <w:p>
      <w:pPr>
        <w:pStyle w:val="BodyText"/>
      </w:pPr>
      <w:r>
        <w:t xml:space="preserve">Dans cette première étude, nous nous intéressons aux déterminants environnementaux de la présence et de l’abondance des espèces vectrices du paludisme sur nos zones d’étude. Comprendre de quelle manière l’environnement impacte la distribution et la densité des anophèles, et être en capacité de prédire ces densités à fine échelle spatio-temporelle, peut en effet aider à concevoir et deployer des interventions de LAV efficaces (voir sections</w:t>
      </w:r>
      <w:r>
        <w:t xml:space="preserve"> </w:t>
      </w:r>
      <w:r>
        <w:t xml:space="preserve">??</w:t>
      </w:r>
      <w:r>
        <w:t xml:space="preserve"> </w:t>
      </w:r>
      <w:r>
        <w:t xml:space="preserve">et</w:t>
      </w:r>
      <w:r>
        <w:t xml:space="preserve"> </w:t>
      </w:r>
      <w:r>
        <w:t xml:space="preserve">??</w:t>
      </w:r>
      <w:r>
        <w:t xml:space="preserve">). L’étude présentée dans ce chapitre avait ainsi pour objectif d’affiner les connaissances sur les liens entre environnement et abondance journalière des vecteurs et d’évaluer la prédictibilité spatio-temporelle des densités agressives, sur nos deux zones d’étude. Pour cela, nous étudions le système {environnement - abondance des vecteurs} dans une approche holistico-inductive, avec un processus de modélisation statistique en deux étapes. Nous exploitons pleinement la granularité spatio-temporelle des données environnementales à notre disposition et le potentiel descriptif et prédictif des modèles statistiques non-paramétriques pour expliquer et évaluer la prédictibilité des densités agressives des vecteurs sur nos zones d’étude. Pour la zone de Diébougou (BF), cette étude a fait l’objet d’une publication scientifique en tant qu’auteur principal (</w:t>
      </w:r>
      <w:hyperlink r:id="rId167">
        <w:r>
          <w:rPr>
            <w:rStyle w:val="Hyperlink"/>
          </w:rPr>
          <w:t xml:space="preserve">https://doi.org/10.1186/s13071-021-04851-x</w:t>
        </w:r>
      </w:hyperlink>
      <w:r>
        <w:t xml:space="preserve">), que nous résumons puis intégrons dans ce chapitre. Dans une troisième partie (section</w:t>
      </w:r>
      <w:r>
        <w:t xml:space="preserve"> </w:t>
      </w:r>
      <w:r>
        <w:t xml:space="preserve">??</w:t>
      </w:r>
      <w:r>
        <w:t xml:space="preserve">), nous présentons et discutons les résultats sur la zone d’étude de Korhogo (CI).</w:t>
      </w:r>
      <w:r>
        <w:br/>
      </w:r>
    </w:p>
    <w:bookmarkStart w:id="168" w:name="summary-article-2"/>
    <w:p>
      <w:pPr>
        <w:pStyle w:val="Heading2"/>
      </w:pPr>
      <w:r>
        <w:t xml:space="preserve">Résumé de l’article</w:t>
      </w:r>
    </w:p>
    <w:p>
      <w:pPr>
        <w:pStyle w:val="FirstParagraph"/>
      </w:pPr>
      <w:r>
        <w:t xml:space="preserve">Les objectifs principaux de cette étude étaient i) d’approfondir les connaissances sur les déterminants environnementaux (en particulier météorologiques et paysagers) des densités agressives des anophèles sur la zone de Diébougou, et ii) d’évaluer la prédictibilité des densités agressives des anophèles dans l’espace et dans le temps.</w:t>
      </w:r>
      <w:r>
        <w:br/>
      </w:r>
    </w:p>
    <w:p>
      <w:pPr>
        <w:pStyle w:val="BodyText"/>
      </w:pPr>
      <w:r>
        <w:t xml:space="preserve">Nous avons modélisé les densités agressives des vecteurs sur la zone de Diébougou en fonction des conditions météorologiques et paysagères à proximité des points de capture. La variable à expliquer était le nombre de contacts homme-vecteur par homme et par nuit de capture. Nous avons constitué des variables explicatives météorologiques à partir des données de météorologie précédant les collectes entomologiques, des variables paysagères à partir des données d’occupation du sol et du réseau hydrographique théorique, et des variables liées à l’attractivité et la pénétrabilité des habitations à partir des données de localisation des habitations. Les variables paysagères ont été calculées dans plusieurs zones tampons autour de chaque point de capture, et les variables météorologiques ont été calculées dans tous les intervalles de temps possibles entre 0 et 6 semaines avant les dates de collecte. Nous avons modélisé les densités agressives des vecteurs en deux étapes, apportant des informations complémentaires sur la bio-écologie des anophèles. Dans un premier temps, nous avons calculé les coefficients de corrélation de Spearman entre l’abondance des vecteurs et chaque variable environnementale prise aux différentes zones tampons (pour les variables paysagères) et intervalles de temps (pour les variables météorologiques). Dans un second temps, nous avons entraîné puis interprété des modèles multivariés d’apprentissage automatique (fôrets aléatoires) afin d’identifier i) l’importance relative des variables environnementales dans l’abondance des vecteurs et ii) l’effet respectif (relation fonctionnelle) de chaque variable environnementale sur l’abondance des vecteurs. Nous avons également évalué la capacité des modèles multivarié à prédire sur de nouveaux villages, par validation croisée. Pour des raisons à la fois d’ordre statistiques et biologiques, nous avons modélisé séparément la probabilité de présence des vecteurs (probabilité de contact homme-vecteur) et l’abondance des vecteurs (nombre de contacts homme-vecteurs dans les sessions de capture avec au moins un contact). De plus, nous avons modélisé séparément les trois espèces majeures d’anophèles identifiées sur le terrain (</w:t>
      </w:r>
      <w:r>
        <w:rPr>
          <w:iCs/>
          <w:i/>
        </w:rPr>
        <w:t xml:space="preserve">An. gambiae s.s.</w:t>
      </w:r>
      <w:r>
        <w:t xml:space="preserve">,</w:t>
      </w:r>
      <w:r>
        <w:t xml:space="preserve"> </w:t>
      </w:r>
      <w:r>
        <w:rPr>
          <w:iCs/>
          <w:i/>
        </w:rPr>
        <w:t xml:space="preserve">An. coluzzii</w:t>
      </w:r>
      <w:r>
        <w:t xml:space="preserve">,</w:t>
      </w:r>
      <w:r>
        <w:t xml:space="preserve"> </w:t>
      </w:r>
      <w:r>
        <w:rPr>
          <w:iCs/>
          <w:i/>
        </w:rPr>
        <w:t xml:space="preserve">An. funestus</w:t>
      </w:r>
      <w:r>
        <w:t xml:space="preserve">), car les déterminants environnementaux de la présence / abondance de chacune peuvent différer.</w:t>
      </w:r>
      <w:r>
        <w:br/>
      </w:r>
    </w:p>
    <w:p>
      <w:pPr>
        <w:pStyle w:val="BodyText"/>
      </w:pPr>
      <w:r>
        <w:t xml:space="preserve">Nous avons observé que les densités agressives étaient, sans surprise, très hétérogènes dans le temps (entre les saisons) et dans l’espace (entre les villages). Dans l’analyse bivariée (coefficients de corrélation), les variables météorologiques et paysagères étaient souvent statistiquement significativement corrélées avec la présence ou l’abondance des vecteurs ; et les coefficients de corrélation variaient fréquemment selon la distance, spatiale (pour les variables paysagères) ou temporelle (pour les variables climatiques), au point de capture. Dans l’analyse multivariée, de nombreux seuils et associations non-linéaires ont été révélés par les modèles d’apprentissage automatique, tant pour les variables météorologiques que pour les variables du paysage. Les modèles multivariés présentaient de bonnes capacités prédictives, indiquant que dans l’ensemble, les déterminants de l’abondance des vecteurs ont été identifiés.</w:t>
      </w:r>
      <w:r>
        <w:br/>
      </w:r>
    </w:p>
    <w:p>
      <w:pPr>
        <w:pStyle w:val="BodyText"/>
      </w:pPr>
      <w:r>
        <w:t xml:space="preserve">L’interprétation des modèles nous a permis de formuler des hypothèses sur la bioécologie des principales espèces vectrices du paludisme dans la zone de Diébougou. Nous avons conjecturé que les conditions météorologiques (températures, précipitations) affectaient tous les stades de vie des moustiques capturés (larves, adultes) à des niveaux variables selon l’espèce et le paramètre météorologique. La météorologie avait parfois un impact plus important encore sur les périodes précédant la durée de vie de la génération échantillonnée. Des gites larvaires préférentiels pour chaque espèce ont été proposés :</w:t>
      </w:r>
      <w:r>
        <w:t xml:space="preserve"> </w:t>
      </w:r>
      <w:r>
        <w:rPr>
          <w:iCs/>
          <w:i/>
        </w:rPr>
        <w:t xml:space="preserve">An. funestus</w:t>
      </w:r>
      <w:r>
        <w:t xml:space="preserve">,</w:t>
      </w:r>
      <w:r>
        <w:t xml:space="preserve"> </w:t>
      </w:r>
      <w:r>
        <w:rPr>
          <w:iCs/>
          <w:i/>
        </w:rPr>
        <w:t xml:space="preserve">An. coluzzii</w:t>
      </w:r>
      <w:r>
        <w:t xml:space="preserve"> </w:t>
      </w:r>
      <w:r>
        <w:t xml:space="preserve">et</w:t>
      </w:r>
      <w:r>
        <w:t xml:space="preserve"> </w:t>
      </w:r>
      <w:r>
        <w:rPr>
          <w:iCs/>
          <w:i/>
        </w:rPr>
        <w:t xml:space="preserve">An. gambiae s.s.</w:t>
      </w:r>
      <w:r>
        <w:t xml:space="preserve"> </w:t>
      </w:r>
      <w:r>
        <w:t xml:space="preserve">semblaient être distribués le long d’un gradient de persistance des sites de reproduction, de permanent à temporaire, confirmant la littérature. Par ailleurs, le niveau d’ouverture du paysage semblait impacter significativement les densités agressives des vecteurs (les milieux ouverts favorisant la probabilité et l’abondance des piqûres, et inversement), ce qui pourrait représenter un problème majeur au regard du rétrécissement progressif des surfaces de savane et de forêt au Burkina Faso.</w:t>
      </w:r>
      <w:r>
        <w:br/>
      </w:r>
    </w:p>
    <w:p>
      <w:pPr>
        <w:pStyle w:val="BodyText"/>
      </w:pPr>
      <w:r>
        <w:t xml:space="preserve">Dans cette étude, nous avons approfondi nos connaissances sur les liens complexes entre environnement et abondance des vecteurs du paludisme, à fine échelle spatio-temporelle, en utilisant conjointement des données entomologiques issues de collectes sur le terrain et des données issues des images satellitaires d’observation de la Terre, dans un cadre avancé de modélisation statistique avancé. Ce travail pose les bases pour le développement d’outils opérationnels pour améliorer et optimiser la lutte contre la transmission du paludisme à l’échelle locale, tels que des plans d’action de lutte antivectorielle, des cartes saisonnières de la distribution des vecteurs à l’échelle du village, ou encore des systèmes d’alerte précoce pour la détection des épidémies de paludisme.</w:t>
      </w:r>
    </w:p>
    <w:bookmarkEnd w:id="168"/>
    <w:bookmarkStart w:id="169" w:name="full-article-2"/>
    <w:p>
      <w:pPr>
        <w:pStyle w:val="Heading2"/>
      </w:pPr>
      <w:r>
        <w:t xml:space="preserve">Texte intégral de l’article</w:t>
      </w:r>
    </w:p>
    <w:bookmarkEnd w:id="169"/>
    <w:bookmarkStart w:id="197" w:name="repro-article-korhogo"/>
    <w:p>
      <w:pPr>
        <w:pStyle w:val="Heading2"/>
      </w:pPr>
      <w:r>
        <w:t xml:space="preserve">Reproduction de l’analyse sur la zone d’étude de Korhogo</w:t>
      </w:r>
    </w:p>
    <w:p>
      <w:pPr>
        <w:pStyle w:val="FirstParagraph"/>
      </w:pPr>
      <w:r>
        <w:t xml:space="preserve">Nous avons reproduit l’analyse sur la zone d’étude de Korhogo selon les méthodes décrites dans l’article. Sans entrer dans le niveau de détail de l’article, la section ci-après présente les résultats ainsi qu’une discussion, en détaillant notamment les principales similitudes et différences par rapport aux résultats obtenus sur la zone de Diébougou.</w:t>
      </w:r>
    </w:p>
    <w:bookmarkStart w:id="194" w:name="résultats"/>
    <w:p>
      <w:pPr>
        <w:pStyle w:val="Heading4"/>
      </w:pPr>
      <w:r>
        <w:t xml:space="preserve">Résultats</w:t>
      </w:r>
    </w:p>
    <w:bookmarkStart w:id="173" w:name="Xfd5c3d17c5112680b5a594ebf2cb45d107d0dd0"/>
    <w:p>
      <w:pPr>
        <w:pStyle w:val="Heading5"/>
      </w:pPr>
      <w:r>
        <w:t xml:space="preserve">Distribution spatio-temporelle des densités agressives des anophèles.</w:t>
      </w:r>
    </w:p>
    <w:p>
      <w:pPr>
        <w:pStyle w:val="FirstParagraph"/>
      </w:pPr>
      <w:r>
        <w:t xml:space="preserve">Dans la zone de Korhogo (CI), un total de 2048 nuits-homme de capture a été réalisé (32 villages * 8 enquêtes entomologiques * 4 points de collecte * 2 lieux). 57722 anophèles ont été collectés. Les principales espèces/complexes trouvés étaient</w:t>
      </w:r>
      <w:r>
        <w:t xml:space="preserve"> </w:t>
      </w:r>
      <w:r>
        <w:rPr>
          <w:iCs/>
          <w:i/>
        </w:rPr>
        <w:t xml:space="preserve">An. gambiae s.l.</w:t>
      </w:r>
      <w:r>
        <w:t xml:space="preserve"> </w:t>
      </w:r>
      <w:r>
        <w:t xml:space="preserve">et</w:t>
      </w:r>
      <w:r>
        <w:t xml:space="preserve"> </w:t>
      </w:r>
      <w:r>
        <w:rPr>
          <w:iCs/>
          <w:i/>
        </w:rPr>
        <w:t xml:space="preserve">An. funestus</w:t>
      </w:r>
      <w:r>
        <w:t xml:space="preserve"> </w:t>
      </w:r>
      <w:r>
        <w:t xml:space="preserve">(respectivement 56267 (97% de tous les anophèles collectés) et 714 (1%) individus collectés). Parmi les 56267</w:t>
      </w:r>
      <w:r>
        <w:t xml:space="preserve"> </w:t>
      </w:r>
      <w:r>
        <w:rPr>
          <w:iCs/>
          <w:i/>
        </w:rPr>
        <w:t xml:space="preserve">An. gambiae s.l.</w:t>
      </w:r>
      <w:r>
        <w:t xml:space="preserve"> </w:t>
      </w:r>
      <w:r>
        <w:t xml:space="preserve">collectés, 3922 (7%) ont été identifiés à l’espèce : 3726 (95% des individus identifiés à l’espèce) étaient des</w:t>
      </w:r>
      <w:r>
        <w:t xml:space="preserve"> </w:t>
      </w:r>
      <w:r>
        <w:rPr>
          <w:iCs/>
          <w:i/>
        </w:rPr>
        <w:t xml:space="preserve">An. gambiae s.s.</w:t>
      </w:r>
      <w:r>
        <w:t xml:space="preserve"> </w:t>
      </w:r>
      <w:r>
        <w:t xml:space="preserve">et 196 (5%) étaient des</w:t>
      </w:r>
      <w:r>
        <w:t xml:space="preserve"> </w:t>
      </w:r>
      <w:r>
        <w:rPr>
          <w:iCs/>
          <w:i/>
        </w:rPr>
        <w:t xml:space="preserve">An. coluzzii</w:t>
      </w:r>
      <w:r>
        <w:t xml:space="preserve">. Par conséquent, dans la suite de cette étude, nous considérerons les</w:t>
      </w:r>
      <w:r>
        <w:t xml:space="preserve"> </w:t>
      </w:r>
      <w:r>
        <w:rPr>
          <w:iCs/>
          <w:i/>
        </w:rPr>
        <w:t xml:space="preserve">An. gambiae s.l.</w:t>
      </w:r>
      <w:r>
        <w:t xml:space="preserve"> </w:t>
      </w:r>
      <w:r>
        <w:t xml:space="preserve">collectés dans la zone de Korhogo comme des</w:t>
      </w:r>
      <w:r>
        <w:t xml:space="preserve"> </w:t>
      </w:r>
      <w:r>
        <w:rPr>
          <w:iCs/>
          <w:i/>
        </w:rPr>
        <w:t xml:space="preserve">An. gambiae s.s.</w:t>
      </w:r>
      <w:r>
        <w:br/>
      </w:r>
    </w:p>
    <w:p>
      <w:pPr>
        <w:pStyle w:val="BodyText"/>
      </w:pPr>
      <w:r>
        <w:rPr>
          <w:iCs/>
          <w:i/>
        </w:rPr>
        <w:t xml:space="preserve">An. gambiae s.s.</w:t>
      </w:r>
      <w:r>
        <w:t xml:space="preserve"> </w:t>
      </w:r>
      <w:r>
        <w:t xml:space="preserve">et</w:t>
      </w:r>
      <w:r>
        <w:t xml:space="preserve"> </w:t>
      </w:r>
      <w:r>
        <w:rPr>
          <w:iCs/>
          <w:i/>
        </w:rPr>
        <w:t xml:space="preserve">An. funestus</w:t>
      </w:r>
      <w:r>
        <w:t xml:space="preserve"> </w:t>
      </w:r>
      <w:r>
        <w:t xml:space="preserve">étaient présents dans respectivement 64 % et 6 % des cas. La distribution des densités agressive sur les sessions positives (cad. au moins un contact homme-vecteur) était très asymétrique, comme sur la zone de Diébougou (pour</w:t>
      </w:r>
      <w:r>
        <w:t xml:space="preserve"> </w:t>
      </w:r>
      <w:r>
        <w:rPr>
          <w:iCs/>
          <w:i/>
        </w:rPr>
        <w:t xml:space="preserve">An. gambiae s.s.</w:t>
      </w:r>
      <w:r>
        <w:t xml:space="preserve"> </w:t>
      </w:r>
      <w:r>
        <w:t xml:space="preserve">: médiane = 18, écart-type = 65, max. = 505 ; pour</w:t>
      </w:r>
      <w:r>
        <w:t xml:space="preserve"> </w:t>
      </w:r>
      <w:r>
        <w:rPr>
          <w:iCs/>
          <w:i/>
        </w:rPr>
        <w:t xml:space="preserve">An. funestus</w:t>
      </w:r>
      <w:r>
        <w:t xml:space="preserve"> </w:t>
      </w:r>
      <w:r>
        <w:t xml:space="preserve">: médiane = 2, écart-type = 12, max. = 84). La figure</w:t>
      </w:r>
      <w:r>
        <w:t xml:space="preserve"> </w:t>
      </w:r>
      <w:r>
        <w:t xml:space="preserve">29</w:t>
      </w:r>
      <w:r>
        <w:t xml:space="preserve"> </w:t>
      </w:r>
      <w:r>
        <w:t xml:space="preserve">présente les distributions spatio-temporelles des densités agressives des principales espèces d’anophèles sur la zone de Korhogo (pendant de la fig. 1 de l’article). La carte montre des dynamiques temporelles pour</w:t>
      </w:r>
      <w:r>
        <w:t xml:space="preserve"> </w:t>
      </w:r>
      <w:r>
        <w:rPr>
          <w:iCs/>
          <w:i/>
        </w:rPr>
        <w:t xml:space="preserve">An. gambiae s.s.</w:t>
      </w:r>
      <w:r>
        <w:t xml:space="preserve"> </w:t>
      </w:r>
      <w:r>
        <w:t xml:space="preserve">relativement similaires à celles de la zone de Diébougou : l’espèce était était davantage abondante en saison ou fin de saison pluvieuse (septembre, octobre) qu’en saison sèche, où elle était malgré tout présente. Au niveau spatial, notons i) une certaine hétérogénéité de la distribution, et ii) que l’espèce était présente dans quasiment tous les villages à toutes les enquêtes entomologiques (sauf la 7ème), contrastant avec la zone de Diébougou où l’espèce était absente de plusieurs villages. La distribution spatio-temporelle d’</w:t>
      </w:r>
      <w:r>
        <w:rPr>
          <w:iCs/>
          <w:i/>
        </w:rPr>
        <w:t xml:space="preserve">An. funestus</w:t>
      </w:r>
      <w:r>
        <w:t xml:space="preserve"> </w:t>
      </w:r>
      <w:r>
        <w:t xml:space="preserve">était très déséquilibrée : l’écrasante majorité des individus (93 %) a été collectée lors de la première enquête entomologique, et presque la moitié des individus (42 %) a été collecté dans un seul village.</w:t>
      </w:r>
      <w:r>
        <w:br/>
      </w:r>
    </w:p>
    <w:p>
      <w:pPr>
        <w:pStyle w:val="CaptionedFigure"/>
      </w:pPr>
      <w:r>
        <w:drawing>
          <wp:inline>
            <wp:extent cx="5334000" cy="1648467"/>
            <wp:effectExtent b="0" l="0" r="0" t="0"/>
            <wp:docPr descr="Figure 29: Distribution spatio-temporelle des densités agressives des principales espèces d’anophèles sur la zone de Korhogo (CI)" title="" id="171" name="Picture"/>
            <a:graphic>
              <a:graphicData uri="http://schemas.openxmlformats.org/drawingml/2006/picture">
                <pic:pic>
                  <pic:nvPicPr>
                    <pic:cNvPr descr="figure/map_bitingrates_ci.png" id="172" name="Picture"/>
                    <pic:cNvPicPr>
                      <a:picLocks noChangeArrowheads="1" noChangeAspect="1"/>
                    </pic:cNvPicPr>
                  </pic:nvPicPr>
                  <pic:blipFill>
                    <a:blip r:embed="rId170"/>
                    <a:stretch>
                      <a:fillRect/>
                    </a:stretch>
                  </pic:blipFill>
                  <pic:spPr bwMode="auto">
                    <a:xfrm>
                      <a:off x="0" y="0"/>
                      <a:ext cx="5334000" cy="1648467"/>
                    </a:xfrm>
                    <a:prstGeom prst="rect">
                      <a:avLst/>
                    </a:prstGeom>
                    <a:noFill/>
                    <a:ln w="9525">
                      <a:noFill/>
                      <a:headEnd/>
                      <a:tailEnd/>
                    </a:ln>
                  </pic:spPr>
                </pic:pic>
              </a:graphicData>
            </a:graphic>
          </wp:inline>
        </w:drawing>
      </w:r>
    </w:p>
    <w:p>
      <w:pPr>
        <w:pStyle w:val="ImageCaption"/>
      </w:pPr>
      <w:r>
        <w:t xml:space="preserve">Figure 29: Distribution spatio-temporelle des densités agressives des principales espèces d’anophèles sur la zone de Korhogo (CI)</w:t>
      </w:r>
    </w:p>
    <w:bookmarkEnd w:id="173"/>
    <w:bookmarkStart w:id="180" w:name="modélisation-bivariée."/>
    <w:p>
      <w:pPr>
        <w:pStyle w:val="Heading5"/>
      </w:pPr>
      <w:r>
        <w:t xml:space="preserve">Modélisation bivariée.</w:t>
      </w:r>
    </w:p>
    <w:p>
      <w:pPr>
        <w:pStyle w:val="FirstParagraph"/>
      </w:pPr>
      <w:r>
        <w:t xml:space="preserve">La figure</w:t>
      </w:r>
      <w:r>
        <w:t xml:space="preserve"> </w:t>
      </w:r>
      <w:r>
        <w:t xml:space="preserve">30</w:t>
      </w:r>
      <w:r>
        <w:t xml:space="preserve"> </w:t>
      </w:r>
      <w:r>
        <w:t xml:space="preserve">montre les variables paysagères qui étaient significativement corrélées (coefficient de corrélation de Spearman (cc) &gt; 0.1 et p.value &lt; 0.2) à la présence et l’abondance des espèces d’anophèles (pendant de la fig. 3 de l’article). Comme à Diébougou, la présence et l’abondance d’</w:t>
      </w:r>
      <w:r>
        <w:rPr>
          <w:iCs/>
          <w:i/>
        </w:rPr>
        <w:t xml:space="preserve">An. funestus</w:t>
      </w:r>
      <w:r>
        <w:t xml:space="preserve"> </w:t>
      </w:r>
      <w:r>
        <w:t xml:space="preserve">était corrélée à davantage de variables paysagères que celle d’</w:t>
      </w:r>
      <w:r>
        <w:rPr>
          <w:iCs/>
          <w:i/>
        </w:rPr>
        <w:t xml:space="preserve">An. gambiae s.s.</w:t>
      </w:r>
      <w:r>
        <w:t xml:space="preserve">, et les coefficients de corrélation les plus élevés avec les variables paysagères étaient observés pour</w:t>
      </w:r>
      <w:r>
        <w:t xml:space="preserve"> </w:t>
      </w:r>
      <w:r>
        <w:rPr>
          <w:iCs/>
          <w:i/>
        </w:rPr>
        <w:t xml:space="preserve">An. funestus</w:t>
      </w:r>
      <w:r>
        <w:t xml:space="preserve">.</w:t>
      </w:r>
    </w:p>
    <w:p>
      <w:pPr>
        <w:pStyle w:val="CaptionedFigure"/>
      </w:pPr>
      <w:r>
        <w:drawing>
          <wp:inline>
            <wp:extent cx="5334000" cy="3502121"/>
            <wp:effectExtent b="0" l="0" r="0" t="0"/>
            <wp:docPr descr="Figure 30: Coefficient de correlation de Spearman entre entre les densités agressives des anophèles et les variables paysagères sur la zone de Korhogo (voir légende complète dans la figure 3 de l’article)" title="" id="175" name="Picture"/>
            <a:graphic>
              <a:graphicData uri="http://schemas.openxmlformats.org/drawingml/2006/picture">
                <pic:pic>
                  <pic:nvPicPr>
                    <pic:cNvPr descr="figure/spatialbuffer_ci.pdf" id="176" name="Picture"/>
                    <pic:cNvPicPr>
                      <a:picLocks noChangeArrowheads="1" noChangeAspect="1"/>
                    </pic:cNvPicPr>
                  </pic:nvPicPr>
                  <pic:blipFill>
                    <a:blip r:embed="rId174"/>
                    <a:stretch>
                      <a:fillRect/>
                    </a:stretch>
                  </pic:blipFill>
                  <pic:spPr bwMode="auto">
                    <a:xfrm>
                      <a:off x="0" y="0"/>
                      <a:ext cx="5334000" cy="3502121"/>
                    </a:xfrm>
                    <a:prstGeom prst="rect">
                      <a:avLst/>
                    </a:prstGeom>
                    <a:noFill/>
                    <a:ln w="9525">
                      <a:noFill/>
                      <a:headEnd/>
                      <a:tailEnd/>
                    </a:ln>
                  </pic:spPr>
                </pic:pic>
              </a:graphicData>
            </a:graphic>
          </wp:inline>
        </w:drawing>
      </w:r>
    </w:p>
    <w:p>
      <w:pPr>
        <w:pStyle w:val="ImageCaption"/>
      </w:pPr>
      <w:r>
        <w:t xml:space="preserve">Figure 30: Coefficient de correlation de Spearman entre entre les densités agressives des anophèles et les variables paysagères sur la zone de Korhogo (voir légende complète dans la figure 3 de l’article)</w:t>
      </w:r>
    </w:p>
    <w:p>
      <w:pPr>
        <w:pStyle w:val="BodyText"/>
      </w:pPr>
      <w:r>
        <w:t xml:space="preserve">La présence d’</w:t>
      </w:r>
      <w:r>
        <w:rPr>
          <w:iCs/>
          <w:i/>
        </w:rPr>
        <w:t xml:space="preserve">An. funestus</w:t>
      </w:r>
      <w:r>
        <w:t xml:space="preserve"> </w:t>
      </w:r>
      <w:r>
        <w:t xml:space="preserve">était positivement correlée à la longueur des rivières et au % de surface occupé par les zones rizicoles, dans la zone tampon de 2 km de rayon. Elle était également correlée au % de surface occupé par les forêts ripicoles et les zones forestières (non ripicoles), dans toutes les zones tampon. L’abondance de l’espèce était positivement correlée à la longueur des rivières, aux surfaces rizicoles, aux surfaces marécageuses, aux forêts ripicoles, et aux zones forestières (non ripicoles), dans diverses tailles de zone tampon en fonction de la classe d’occupation du sol. L’abondance d’</w:t>
      </w:r>
      <w:r>
        <w:rPr>
          <w:iCs/>
          <w:i/>
        </w:rPr>
        <w:t xml:space="preserve">An. funestus</w:t>
      </w:r>
      <w:r>
        <w:t xml:space="preserve"> </w:t>
      </w:r>
      <w:r>
        <w:t xml:space="preserve">était négativement corellée au % de surface occupé par les plantations dans la zone tampon de 2 km de rayon, et à la distance à la rivière la plus proche (autrement dit, l’abondance était plus importante quand le point de capture était proche d’une rivière).</w:t>
      </w:r>
      <w:r>
        <w:br/>
      </w:r>
    </w:p>
    <w:p>
      <w:pPr>
        <w:pStyle w:val="BodyText"/>
      </w:pPr>
      <w:r>
        <w:t xml:space="preserve">La présence d’</w:t>
      </w:r>
      <w:r>
        <w:rPr>
          <w:iCs/>
          <w:i/>
        </w:rPr>
        <w:t xml:space="preserve">An. gambiae s.s.</w:t>
      </w:r>
      <w:r>
        <w:t xml:space="preserve"> </w:t>
      </w:r>
      <w:r>
        <w:t xml:space="preserve">était positivement correlée au % de surface en eaux permanentes, en zones marécageuses, et en zones agricoles dans la zone tampon d’1 km de rayon. La présence ainsi que l’abondance de l’espèce étaient également correlée au % de surface occupée par les zones rizicoles, dans toutes les zones tampon pour la présence et dans les zones tampons d’1 et 2 km de rayon pour l’abondance. La présence et l’abondance d’</w:t>
      </w:r>
      <w:r>
        <w:rPr>
          <w:iCs/>
          <w:i/>
        </w:rPr>
        <w:t xml:space="preserve">An. gambiae s.s.</w:t>
      </w:r>
      <w:r>
        <w:t xml:space="preserve"> </w:t>
      </w:r>
      <w:r>
        <w:t xml:space="preserve">était négativement corellées au % de surface occupé par les forêts ripicoles, dans les zones tampons d’1 et 2 km de rayon pour la présence et dans la zone de 2 km pour l’abondance. L’abondance de l’espèce était négativement correlée au % de surface occupée par les zones forestières dans la zone tampon de 2 km de rayon, et à la distance à la lisière du village (autrement dit, l’abondance était plus importante dans les habitations situées proche de la lisière du village que dans celles situées proches du centre du village). La présence de l’espèce était négativement correlée au % de surface occupée par les savanes ligneuses, dans les zones tampons de plus de 250 m de rayon.</w:t>
      </w:r>
      <w:r>
        <w:br/>
      </w:r>
    </w:p>
    <w:p>
      <w:pPr>
        <w:pStyle w:val="BodyText"/>
      </w:pPr>
      <w:r>
        <w:t xml:space="preserve">Notons que les valeurs absolues des coefficients de corrélation entre la présence / abondance des espèces et les variables paysagères étaient, dans l’ensemble, moins élevées dans la zone de Korhogo que dans la zone de Diébougou.</w:t>
      </w:r>
      <w:r>
        <w:br/>
      </w:r>
    </w:p>
    <w:p>
      <w:pPr>
        <w:pStyle w:val="BodyText"/>
      </w:pPr>
      <w:r>
        <w:t xml:space="preserve">La figure</w:t>
      </w:r>
      <w:r>
        <w:t xml:space="preserve"> </w:t>
      </w:r>
      <w:r>
        <w:t xml:space="preserve">31</w:t>
      </w:r>
      <w:r>
        <w:t xml:space="preserve"> </w:t>
      </w:r>
      <w:r>
        <w:t xml:space="preserve">montre les variables météorologiques qui étaient significativement corrélées (coefficient de corrélation de Spearman (cc) &gt; 0.1 et p.value &lt; 0.2) avec la présence et l’abondance des espèces d’anophèles (</w:t>
      </w:r>
      <w:r>
        <w:rPr>
          <w:iCs/>
          <w:i/>
        </w:rPr>
        <w:t xml:space="preserve">cross-correlation maps</w:t>
      </w:r>
      <w:r>
        <w:t xml:space="preserve">, ou CCM) (pendant de la fig. 4 de l’article). Comme à Diébougou, les coefficients de corrélation entre la présence/abondance des espèces et les variables météorologiques étaient plus élevés pour</w:t>
      </w:r>
      <w:r>
        <w:t xml:space="preserve"> </w:t>
      </w:r>
      <w:r>
        <w:rPr>
          <w:iCs/>
          <w:i/>
        </w:rPr>
        <w:t xml:space="preserve">An. gambiae s.s.</w:t>
      </w:r>
      <w:r>
        <w:t xml:space="preserve"> </w:t>
      </w:r>
      <w:r>
        <w:t xml:space="preserve">que pour</w:t>
      </w:r>
      <w:r>
        <w:t xml:space="preserve"> </w:t>
      </w:r>
      <w:r>
        <w:rPr>
          <w:iCs/>
          <w:i/>
        </w:rPr>
        <w:t xml:space="preserve">An. funestus</w:t>
      </w:r>
      <w:r>
        <w:t xml:space="preserve">.</w:t>
      </w:r>
    </w:p>
    <w:p>
      <w:pPr>
        <w:pStyle w:val="CaptionedFigure"/>
      </w:pPr>
      <w:r>
        <w:drawing>
          <wp:inline>
            <wp:extent cx="5334000" cy="2370666"/>
            <wp:effectExtent b="0" l="0" r="0" t="0"/>
            <wp:docPr descr="Figure 31: Coefficient de correlation de Spearman entre entre les densités agressives des anophèles et les variables météorologiques sur la zone de Korhogo (sous forme de cross-correlation maps) (voir légende complète dans la figure 4 de l’article)" title="" id="178" name="Picture"/>
            <a:graphic>
              <a:graphicData uri="http://schemas.openxmlformats.org/drawingml/2006/picture">
                <pic:pic>
                  <pic:nvPicPr>
                    <pic:cNvPr descr="figure/ccm_ci.pdf" id="179" name="Picture"/>
                    <pic:cNvPicPr>
                      <a:picLocks noChangeArrowheads="1" noChangeAspect="1"/>
                    </pic:cNvPicPr>
                  </pic:nvPicPr>
                  <pic:blipFill>
                    <a:blip r:embed="rId177"/>
                    <a:stretch>
                      <a:fillRect/>
                    </a:stretch>
                  </pic:blipFill>
                  <pic:spPr bwMode="auto">
                    <a:xfrm>
                      <a:off x="0" y="0"/>
                      <a:ext cx="5334000" cy="2370666"/>
                    </a:xfrm>
                    <a:prstGeom prst="rect">
                      <a:avLst/>
                    </a:prstGeom>
                    <a:noFill/>
                    <a:ln w="9525">
                      <a:noFill/>
                      <a:headEnd/>
                      <a:tailEnd/>
                    </a:ln>
                  </pic:spPr>
                </pic:pic>
              </a:graphicData>
            </a:graphic>
          </wp:inline>
        </w:drawing>
      </w:r>
    </w:p>
    <w:p>
      <w:pPr>
        <w:pStyle w:val="ImageCaption"/>
      </w:pPr>
      <w:r>
        <w:t xml:space="preserve">Figure 31: Coefficient de correlation de Spearman entre entre les densités agressives des anophèles et les variables météorologiques sur la zone de Korhogo (sous forme de cross-correlation maps) (voir légende complète dans la figure 4 de l’article)</w:t>
      </w:r>
    </w:p>
    <w:p>
      <w:pPr>
        <w:pStyle w:val="BodyText"/>
      </w:pPr>
      <w:r>
        <w:t xml:space="preserve">La présence et l’abondance d’</w:t>
      </w:r>
      <w:r>
        <w:rPr>
          <w:iCs/>
          <w:i/>
        </w:rPr>
        <w:t xml:space="preserve">An. funestus</w:t>
      </w:r>
      <w:r>
        <w:t xml:space="preserve"> </w:t>
      </w:r>
      <w:r>
        <w:t xml:space="preserve">étaient positivement corrélées au cumul des précipitations précédant la date de capture, à presque tous les</w:t>
      </w:r>
      <w:r>
        <w:t xml:space="preserve"> </w:t>
      </w:r>
      <w:r>
        <w:t xml:space="preserve">‘</w:t>
      </w:r>
      <w:r>
        <w:t xml:space="preserve">lags</w:t>
      </w:r>
      <w:r>
        <w:t xml:space="preserve">’</w:t>
      </w:r>
      <w:r>
        <w:t xml:space="preserve"> </w:t>
      </w:r>
      <w:r>
        <w:t xml:space="preserve">temporels - ce qui contraste avec la zone de Diébougou où les corrélations d’</w:t>
      </w:r>
      <w:r>
        <w:rPr>
          <w:iCs/>
          <w:i/>
        </w:rPr>
        <w:t xml:space="preserve">An. funestus</w:t>
      </w:r>
      <w:r>
        <w:t xml:space="preserve"> </w:t>
      </w:r>
      <w:r>
        <w:t xml:space="preserve">avec les précipitations étaient négatives. La présence et l’abondance de l’espèce étaient négativement correlées aux températures diurnes, là aussi à presque tous les lags temporels précédant la date de capture. Les corrélations entre la présence ou l’abondance d’</w:t>
      </w:r>
      <w:r>
        <w:rPr>
          <w:iCs/>
          <w:i/>
        </w:rPr>
        <w:t xml:space="preserve">An. funestus</w:t>
      </w:r>
      <w:r>
        <w:t xml:space="preserve"> </w:t>
      </w:r>
      <w:r>
        <w:t xml:space="preserve">et les températures nocturnes précédant la date de capture étaient faibles ou non-significatives.</w:t>
      </w:r>
      <w:r>
        <w:br/>
      </w:r>
    </w:p>
    <w:p>
      <w:pPr>
        <w:pStyle w:val="BodyText"/>
      </w:pPr>
      <w:r>
        <w:t xml:space="preserve">La présence et l’abondance d’</w:t>
      </w:r>
      <w:r>
        <w:rPr>
          <w:iCs/>
          <w:i/>
        </w:rPr>
        <w:t xml:space="preserve">An. gambiae s.s.</w:t>
      </w:r>
      <w:r>
        <w:t xml:space="preserve"> </w:t>
      </w:r>
      <w:r>
        <w:t xml:space="preserve">était positivement, fortement corrélées (plus encore qu’à Diébougou) au cumul des précipitations précédant la date de capture, à tous les lags temporels. Les coefficients de corrélation maximum se situaient, pour le cumul des précipitations, entre 1 et 6 semaines avant la date de capture pour la présence et entre 2 et 6 semaines avant la date de capture pour l’abondance. La présence d’</w:t>
      </w:r>
      <w:r>
        <w:rPr>
          <w:iCs/>
          <w:i/>
        </w:rPr>
        <w:t xml:space="preserve">An. gambiae s.s.</w:t>
      </w:r>
      <w:r>
        <w:t xml:space="preserve"> </w:t>
      </w:r>
      <w:r>
        <w:t xml:space="preserve">était également positivement corellée les températures nocturnes précédant la date de capture à tous les lags temporels, et le coefficient de corrélation maximum était entre 5 et 6 semaines avant la capture. La présence et l’abondance d’</w:t>
      </w:r>
      <w:r>
        <w:rPr>
          <w:iCs/>
          <w:i/>
        </w:rPr>
        <w:t xml:space="preserve">An. gambiae s.s.</w:t>
      </w:r>
      <w:r>
        <w:t xml:space="preserve"> </w:t>
      </w:r>
      <w:r>
        <w:t xml:space="preserve">était négativement corellée avec les températures diurnes précédant la date de capture, à tous les lags temporels. Le coefficient de corrélation maximum entre les températures diurnes et la présence/abondance de l’espèce était entre 0 et 2-3 semaines avant la date de capture. Notons que les CCM d’</w:t>
      </w:r>
      <w:r>
        <w:rPr>
          <w:iCs/>
          <w:i/>
        </w:rPr>
        <w:t xml:space="preserve">An. gambiae s.s.</w:t>
      </w:r>
      <w:r>
        <w:t xml:space="preserve"> </w:t>
      </w:r>
      <w:r>
        <w:t xml:space="preserve">sur les zones de Korhogo et Diébougou étaient, une à une, très semblables : si les valeurs absolues des coefficients de corrélation étaient globalement légèrement supérieures sur la zone de Korhogo, les lags temporels présentant les coefficients de corrélation les plus élevés étaient quasiment identiques pour 5 des 6 CCMs.</w:t>
      </w:r>
      <w:r>
        <w:br/>
      </w:r>
    </w:p>
    <w:p>
      <w:pPr>
        <w:pStyle w:val="BodyText"/>
      </w:pPr>
      <w:r>
        <w:t xml:space="preserve">Notons qu’à l’inverse des variables paysagères, les valeurs absolues des coefficients de corrélation entre la présence / abondance des espèces et les variables météorologiques étaient, dans l’ensemble, plus élevés dans la zone de Korhogo que dans la zone de Diébougou (en particulier pour</w:t>
      </w:r>
      <w:r>
        <w:t xml:space="preserve"> </w:t>
      </w:r>
      <w:r>
        <w:rPr>
          <w:iCs/>
          <w:i/>
        </w:rPr>
        <w:t xml:space="preserve">An. gambiae s.s.</w:t>
      </w:r>
      <w:r>
        <w:t xml:space="preserve">).</w:t>
      </w:r>
    </w:p>
    <w:bookmarkEnd w:id="180"/>
    <w:bookmarkStart w:id="193" w:name="modélisation-multivariée."/>
    <w:p>
      <w:pPr>
        <w:pStyle w:val="Heading5"/>
      </w:pPr>
      <w:r>
        <w:t xml:space="preserve">Modélisation multivariée.</w:t>
      </w:r>
    </w:p>
    <w:p>
      <w:pPr>
        <w:pStyle w:val="FirstParagraph"/>
      </w:pPr>
      <w:r>
        <w:t xml:space="preserve">La</w:t>
      </w:r>
      <w:r>
        <w:t xml:space="preserve"> </w:t>
      </w:r>
      <w:r>
        <w:rPr>
          <w:iCs/>
          <w:i/>
        </w:rPr>
        <w:t xml:space="preserve">Precision-Recall area under the curve</w:t>
      </w:r>
      <w:r>
        <w:t xml:space="preserve"> </w:t>
      </w:r>
      <w:r>
        <w:t xml:space="preserve">(PR-AUC) des modèles de présence était de 0.52 (baseline=0.09) et 0.91 (baseline=0.64) pour</w:t>
      </w:r>
      <w:r>
        <w:t xml:space="preserve"> </w:t>
      </w:r>
      <w:r>
        <w:rPr>
          <w:iCs/>
          <w:i/>
        </w:rPr>
        <w:t xml:space="preserve">An. funestus</w:t>
      </w:r>
      <w:r>
        <w:t xml:space="preserve"> </w:t>
      </w:r>
      <w:r>
        <w:t xml:space="preserve">et</w:t>
      </w:r>
      <w:r>
        <w:t xml:space="preserve"> </w:t>
      </w:r>
      <w:r>
        <w:rPr>
          <w:iCs/>
          <w:i/>
        </w:rPr>
        <w:t xml:space="preserve">An. gambiae s.s.</w:t>
      </w:r>
      <w:r>
        <w:t xml:space="preserve"> </w:t>
      </w:r>
      <w:r>
        <w:t xml:space="preserve">respectivement. La spécificité et la sensitivité des modèles au seuils optimaux de probabilité de présence étaient de 53 % et 98 % pour</w:t>
      </w:r>
      <w:r>
        <w:t xml:space="preserve"> </w:t>
      </w:r>
      <w:r>
        <w:rPr>
          <w:iCs/>
          <w:i/>
        </w:rPr>
        <w:t xml:space="preserve">An. funestus</w:t>
      </w:r>
      <w:r>
        <w:t xml:space="preserve"> </w:t>
      </w:r>
      <w:r>
        <w:t xml:space="preserve">et de 88 % et 61 % pour</w:t>
      </w:r>
      <w:r>
        <w:t xml:space="preserve"> </w:t>
      </w:r>
      <w:r>
        <w:rPr>
          <w:iCs/>
          <w:i/>
        </w:rPr>
        <w:t xml:space="preserve">An. gambiae s.s.</w:t>
      </w:r>
      <w:r>
        <w:t xml:space="preserve"> </w:t>
      </w:r>
      <w:r>
        <w:t xml:space="preserve">Ces résultats indiquent de bonnes capacités prédictives pour les modèles de présence, comme sur la zone de Diébougou. De même, comme sur la zone BF, les modèles d’abondance refletaient bien les tendances des abondances observées. Les figures d’évaluation des modèles multivariés de présence et d’abondance sur la zone de Korhogo (pendant des</w:t>
      </w:r>
      <w:r>
        <w:t xml:space="preserve"> </w:t>
      </w:r>
      <w:r>
        <w:t xml:space="preserve">‘</w:t>
      </w:r>
      <w:r>
        <w:t xml:space="preserve">supplementary file</w:t>
      </w:r>
      <w:r>
        <w:t xml:space="preserve">’</w:t>
      </w:r>
      <w:r>
        <w:t xml:space="preserve"> </w:t>
      </w:r>
      <w:r>
        <w:t xml:space="preserve">4 et 5 de l’article) sont présentées dans les figures</w:t>
      </w:r>
      <w:r>
        <w:t xml:space="preserve"> </w:t>
      </w:r>
      <w:r>
        <w:t xml:space="preserve">32</w:t>
      </w:r>
      <w:r>
        <w:t xml:space="preserve"> </w:t>
      </w:r>
      <w:r>
        <w:t xml:space="preserve">et</w:t>
      </w:r>
      <w:r>
        <w:t xml:space="preserve"> </w:t>
      </w:r>
      <w:r>
        <w:t xml:space="preserve">33</w:t>
      </w:r>
      <w:r>
        <w:t xml:space="preserve">.</w:t>
      </w:r>
      <w:r>
        <w:br/>
      </w:r>
    </w:p>
    <w:p>
      <w:pPr>
        <w:pStyle w:val="CaptionedFigure"/>
      </w:pPr>
      <w:r>
        <w:drawing>
          <wp:inline>
            <wp:extent cx="5334000" cy="3676492"/>
            <wp:effectExtent b="0" l="0" r="0" t="0"/>
            <wp:docPr descr="Figure 32: Evaluation de la puissance prédictive des modèles de présence des anophèles sur la zone de Korhogo (voir légende complète dans la figure additionnelle 5 (Figure S5) de l’article)" title="" id="182" name="Picture"/>
            <a:graphic>
              <a:graphicData uri="http://schemas.openxmlformats.org/drawingml/2006/picture">
                <pic:pic>
                  <pic:nvPicPr>
                    <pic:cNvPr descr="figure/modelevaluation_ci_presence.pdf" id="183" name="Picture"/>
                    <pic:cNvPicPr>
                      <a:picLocks noChangeArrowheads="1" noChangeAspect="1"/>
                    </pic:cNvPicPr>
                  </pic:nvPicPr>
                  <pic:blipFill>
                    <a:blip r:embed="rId181"/>
                    <a:stretch>
                      <a:fillRect/>
                    </a:stretch>
                  </pic:blipFill>
                  <pic:spPr bwMode="auto">
                    <a:xfrm>
                      <a:off x="0" y="0"/>
                      <a:ext cx="5334000" cy="3676492"/>
                    </a:xfrm>
                    <a:prstGeom prst="rect">
                      <a:avLst/>
                    </a:prstGeom>
                    <a:noFill/>
                    <a:ln w="9525">
                      <a:noFill/>
                      <a:headEnd/>
                      <a:tailEnd/>
                    </a:ln>
                  </pic:spPr>
                </pic:pic>
              </a:graphicData>
            </a:graphic>
          </wp:inline>
        </w:drawing>
      </w:r>
    </w:p>
    <w:p>
      <w:pPr>
        <w:pStyle w:val="ImageCaption"/>
      </w:pPr>
      <w:r>
        <w:t xml:space="preserve">Figure 32: Evaluation de la puissance prédictive des modèles de présence des anophèles sur la zone de Korhogo (voir légende complète dans la figure additionnelle 5 (Figure S5) de l’article)</w:t>
      </w:r>
    </w:p>
    <w:p>
      <w:pPr>
        <w:pStyle w:val="CaptionedFigure"/>
      </w:pPr>
      <w:r>
        <w:drawing>
          <wp:inline>
            <wp:extent cx="5334000" cy="3683211"/>
            <wp:effectExtent b="0" l="0" r="0" t="0"/>
            <wp:docPr descr="Figure 33: Evaluation de la puissance prédictive des modèles de d’abondance des anophèles sur la zone de Korhogo (voir légende complète dans la figure additionnelle 5 (Figure S5) de l’article)" title="" id="185" name="Picture"/>
            <a:graphic>
              <a:graphicData uri="http://schemas.openxmlformats.org/drawingml/2006/picture">
                <pic:pic>
                  <pic:nvPicPr>
                    <pic:cNvPr descr="figure/modelevaluation_ci_abundance.pdf" id="186" name="Picture"/>
                    <pic:cNvPicPr>
                      <a:picLocks noChangeArrowheads="1" noChangeAspect="1"/>
                    </pic:cNvPicPr>
                  </pic:nvPicPr>
                  <pic:blipFill>
                    <a:blip r:embed="rId184"/>
                    <a:stretch>
                      <a:fillRect/>
                    </a:stretch>
                  </pic:blipFill>
                  <pic:spPr bwMode="auto">
                    <a:xfrm>
                      <a:off x="0" y="0"/>
                      <a:ext cx="5334000" cy="3683211"/>
                    </a:xfrm>
                    <a:prstGeom prst="rect">
                      <a:avLst/>
                    </a:prstGeom>
                    <a:noFill/>
                    <a:ln w="9525">
                      <a:noFill/>
                      <a:headEnd/>
                      <a:tailEnd/>
                    </a:ln>
                  </pic:spPr>
                </pic:pic>
              </a:graphicData>
            </a:graphic>
          </wp:inline>
        </w:drawing>
      </w:r>
    </w:p>
    <w:p>
      <w:pPr>
        <w:pStyle w:val="ImageCaption"/>
      </w:pPr>
      <w:r>
        <w:t xml:space="preserve">Figure 33: Evaluation de la puissance prédictive des modèles de d’abondance des anophèles sur la zone de Korhogo (voir légende complète dans la figure additionnelle 5 (Figure S5) de l’article)</w:t>
      </w:r>
    </w:p>
    <w:p>
      <w:pPr>
        <w:pStyle w:val="BodyText"/>
      </w:pPr>
      <w:r>
        <w:t xml:space="preserve">Les figures</w:t>
      </w:r>
      <w:r>
        <w:t xml:space="preserve"> </w:t>
      </w:r>
      <w:r>
        <w:t xml:space="preserve">35</w:t>
      </w:r>
      <w:r>
        <w:t xml:space="preserve"> </w:t>
      </w:r>
      <w:r>
        <w:t xml:space="preserve">et</w:t>
      </w:r>
      <w:r>
        <w:t xml:space="preserve"> </w:t>
      </w:r>
      <w:r>
        <w:t xml:space="preserve">34</w:t>
      </w:r>
      <w:r>
        <w:t xml:space="preserve"> </w:t>
      </w:r>
      <w:r>
        <w:t xml:space="preserve">montrent les graphiques d’interprétation des modèles de forêt aléatoire (variables d’importances et les plots de dépendance partiels) pour la présence et l’abondance des deux espèces (pendant des fig. 5-6-7 de l’article).</w:t>
      </w:r>
      <w:r>
        <w:br/>
      </w:r>
    </w:p>
    <w:p>
      <w:pPr>
        <w:pStyle w:val="CaptionedFigure"/>
      </w:pPr>
      <w:r>
        <w:drawing>
          <wp:inline>
            <wp:extent cx="5334000" cy="7415861"/>
            <wp:effectExtent b="0" l="0" r="0" t="0"/>
            <wp:docPr descr="Figure 34: Graphiques d’interprétation des modèles de forêt aléatoires pour An. funestus sur la zone de Korhogo (voir légende complète dans la figure 5 de l’article)" title="" id="188" name="Picture"/>
            <a:graphic>
              <a:graphicData uri="http://schemas.openxmlformats.org/drawingml/2006/picture">
                <pic:pic>
                  <pic:nvPicPr>
                    <pic:cNvPr descr="figure/pdp_funestus_ci.pdf" id="189" name="Picture"/>
                    <pic:cNvPicPr>
                      <a:picLocks noChangeArrowheads="1" noChangeAspect="1"/>
                    </pic:cNvPicPr>
                  </pic:nvPicPr>
                  <pic:blipFill>
                    <a:blip r:embed="rId187"/>
                    <a:stretch>
                      <a:fillRect/>
                    </a:stretch>
                  </pic:blipFill>
                  <pic:spPr bwMode="auto">
                    <a:xfrm>
                      <a:off x="0" y="0"/>
                      <a:ext cx="5334000" cy="7415861"/>
                    </a:xfrm>
                    <a:prstGeom prst="rect">
                      <a:avLst/>
                    </a:prstGeom>
                    <a:noFill/>
                    <a:ln w="9525">
                      <a:noFill/>
                      <a:headEnd/>
                      <a:tailEnd/>
                    </a:ln>
                  </pic:spPr>
                </pic:pic>
              </a:graphicData>
            </a:graphic>
          </wp:inline>
        </w:drawing>
      </w:r>
    </w:p>
    <w:p>
      <w:pPr>
        <w:pStyle w:val="ImageCaption"/>
      </w:pPr>
      <w:r>
        <w:t xml:space="preserve">Figure 34: Graphiques d’interprétation des modèles de forêt aléatoires pour An. funestus sur la zone de Korhogo (voir légende complète dans la figure 5 de l’article)</w:t>
      </w:r>
    </w:p>
    <w:p>
      <w:pPr>
        <w:pStyle w:val="BodyText"/>
      </w:pPr>
      <w:r>
        <w:t xml:space="preserve">Les variables les plus importantes dans le modèle de présence d’</w:t>
      </w:r>
      <w:r>
        <w:rPr>
          <w:iCs/>
          <w:i/>
        </w:rPr>
        <w:t xml:space="preserve">An. funestus</w:t>
      </w:r>
      <w:r>
        <w:t xml:space="preserve"> </w:t>
      </w:r>
      <w:r>
        <w:t xml:space="preserve">étaient les trois variables météorologiques précédant la capture : précipitations (relation linéaire positive), températures diurnes (relation négative entre 25°C et 35°C, et relativement stable entre 35° et 45°), et températures nocturnes. Les variables les plus importantes dans le modèle d’abondance de cette espèce étaient : le % de surface occupé par les forêts ripicoles (relation nulle entre 0% et 5%, positive entre 5% et 10%, et nulle entre 10% et 12%), la longueur totale des rivières dans la zone tampon de 2 km de rayon autour des points de capture (relation nulle entre 4 km et 10 km de rivières, positive entre 10 km et 13 km, et nulle entre 13 km et 16 km), et les températures diurnes (relation linéaire négative entre 27°C et 31°C et nulle entre 31°C et 39°C).</w:t>
      </w:r>
      <w:r>
        <w:br/>
      </w:r>
    </w:p>
    <w:p>
      <w:pPr>
        <w:pStyle w:val="BodyText"/>
      </w:pPr>
      <w:r>
        <w:t xml:space="preserve">Les prédicteurs secondaires dans le modèle de présence d’</w:t>
      </w:r>
      <w:r>
        <w:rPr>
          <w:iCs/>
          <w:i/>
        </w:rPr>
        <w:t xml:space="preserve">An. funestus</w:t>
      </w:r>
      <w:r>
        <w:t xml:space="preserve"> </w:t>
      </w:r>
      <w:r>
        <w:t xml:space="preserve">étaient des variables paysagères : % de surface occupé par les forêts ripicoles (relation positive linéaire), % de surface occupé par les rizicultures (relation positive linéaire), la longueur totale des rivières dans la zone tampon de 2 km de rayon autour des points de capture (relation positive linéaire). Les prédicteurs secondaires dans le modèle d’abondance étaient : le % de surface occupé par les rizicultures (relation positive), la distance à la rivière la plus proche (relation négative), et le % de surface occupé par les forêts ripicoles (relation positive).</w:t>
      </w:r>
      <w:r>
        <w:br/>
      </w:r>
    </w:p>
    <w:p>
      <w:pPr>
        <w:pStyle w:val="CaptionedFigure"/>
      </w:pPr>
      <w:r>
        <w:drawing>
          <wp:inline>
            <wp:extent cx="5334000" cy="7415861"/>
            <wp:effectExtent b="0" l="0" r="0" t="0"/>
            <wp:docPr descr="Figure 35: Graphiques d’interprétation des modèles de forêt aléatoires pour An. gambiae s.s. sur la zone de Korhogo (voir légende complète dans la figure 5 de l’article)" title="" id="191" name="Picture"/>
            <a:graphic>
              <a:graphicData uri="http://schemas.openxmlformats.org/drawingml/2006/picture">
                <pic:pic>
                  <pic:nvPicPr>
                    <pic:cNvPr descr="figure/pdp_gambiaess_ci.pdf" id="192" name="Picture"/>
                    <pic:cNvPicPr>
                      <a:picLocks noChangeArrowheads="1" noChangeAspect="1"/>
                    </pic:cNvPicPr>
                  </pic:nvPicPr>
                  <pic:blipFill>
                    <a:blip r:embed="rId190"/>
                    <a:stretch>
                      <a:fillRect/>
                    </a:stretch>
                  </pic:blipFill>
                  <pic:spPr bwMode="auto">
                    <a:xfrm>
                      <a:off x="0" y="0"/>
                      <a:ext cx="5334000" cy="7415861"/>
                    </a:xfrm>
                    <a:prstGeom prst="rect">
                      <a:avLst/>
                    </a:prstGeom>
                    <a:noFill/>
                    <a:ln w="9525">
                      <a:noFill/>
                      <a:headEnd/>
                      <a:tailEnd/>
                    </a:ln>
                  </pic:spPr>
                </pic:pic>
              </a:graphicData>
            </a:graphic>
          </wp:inline>
        </w:drawing>
      </w:r>
    </w:p>
    <w:p>
      <w:pPr>
        <w:pStyle w:val="ImageCaption"/>
      </w:pPr>
      <w:r>
        <w:t xml:space="preserve">Figure 35: Graphiques d’interprétation des modèles de forêt aléatoires pour An. gambiae s.s. sur la zone de Korhogo (voir légende complète dans la figure 5 de l’article)</w:t>
      </w:r>
    </w:p>
    <w:p>
      <w:pPr>
        <w:pStyle w:val="BodyText"/>
      </w:pPr>
      <w:r>
        <w:t xml:space="preserve">Les variables les plus importantes dans les modèles de présence et d’abondance d’</w:t>
      </w:r>
      <w:r>
        <w:rPr>
          <w:iCs/>
          <w:i/>
        </w:rPr>
        <w:t xml:space="preserve">An. gambiae s.s.</w:t>
      </w:r>
      <w:r>
        <w:t xml:space="preserve"> </w:t>
      </w:r>
      <w:r>
        <w:t xml:space="preserve">étaient les trois variables météorologiques précédant la capture : dans l’ordre, cumul des précipitations entre 1-2 et 6 semaines précédant la capture, températures diurnes enre 0 et 2-3 semaines précédant la capture, et températures nocturnes (entre 5 et 6 semaines et entre 0 et 1 semaine pour les modèles de présence et d’abondance respectivement). La probabilité de présence augmentait logarithmiquement avec les précipitations, et l’abondance augmentait linéairement avec les précipitations. La nature des relations avec les températures était relativement similaire à celle d’</w:t>
      </w:r>
      <w:r>
        <w:rPr>
          <w:iCs/>
          <w:i/>
        </w:rPr>
        <w:t xml:space="preserve">An. gambiae s.s.</w:t>
      </w:r>
      <w:r>
        <w:t xml:space="preserve"> </w:t>
      </w:r>
      <w:r>
        <w:t xml:space="preserve">dans la zone de Diébougou. Notons que l’importance des précipitations était particulièrement élevée dans le modèle d’abondance d’</w:t>
      </w:r>
      <w:r>
        <w:rPr>
          <w:iCs/>
          <w:i/>
        </w:rPr>
        <w:t xml:space="preserve">An. gambiae s.s.</w:t>
      </w:r>
      <w:r>
        <w:t xml:space="preserve">, dominant largement l’importance de toutes les autres variables.</w:t>
      </w:r>
      <w:r>
        <w:br/>
      </w:r>
    </w:p>
    <w:p>
      <w:pPr>
        <w:pStyle w:val="BodyText"/>
      </w:pPr>
      <w:r>
        <w:t xml:space="preserve">Les prédicteurs secondaires dans le modèle de présence d’</w:t>
      </w:r>
      <w:r>
        <w:rPr>
          <w:iCs/>
          <w:i/>
        </w:rPr>
        <w:t xml:space="preserve">An. gambiae s.s.</w:t>
      </w:r>
      <w:r>
        <w:t xml:space="preserve"> </w:t>
      </w:r>
      <w:r>
        <w:t xml:space="preserve">étaient le % de surface occupé par les savanes ligneuses (relation négative entre 0% et 5% puis nulle entre 5% et 25%), le % de surface occupé par les rizicultures (relation positive entre 0% et 10% puis nulle entre 10% et 15%), et le % de surface occupé par les zones agricoles (relation nulle entre 0% et 50% puis positive entre 50% et 60%). Les prédicteurs secondaires dans le modèle d’abondance étaient le % de surface occupée par les rizières (relation positive entre 0% et 15% puis nulle entre 15% et 25%), le % de surface occupé par les forêts ripicoles (relation négative entre 0% et 3% puis nulle entre 3% et 10%), et le % de surface occupé par les forêts (relation négative linéaire).</w:t>
      </w:r>
      <w:r>
        <w:br/>
      </w:r>
    </w:p>
    <w:bookmarkEnd w:id="193"/>
    <w:bookmarkEnd w:id="194"/>
    <w:bookmarkStart w:id="195" w:name="discussion"/>
    <w:p>
      <w:pPr>
        <w:pStyle w:val="Heading4"/>
      </w:pPr>
      <w:r>
        <w:t xml:space="preserve">Discussion</w:t>
      </w:r>
    </w:p>
    <w:p>
      <w:pPr>
        <w:pStyle w:val="FirstParagraph"/>
      </w:pPr>
      <w:r>
        <w:t xml:space="preserve">Dans la zone de Korhogo, le cumul des précipitations était la variable la plus importante à la fois dans les modèles de présence et d’abondance d’</w:t>
      </w:r>
      <w:r>
        <w:rPr>
          <w:iCs/>
          <w:i/>
        </w:rPr>
        <w:t xml:space="preserve">An. gambiae s.s</w:t>
      </w:r>
      <w:r>
        <w:t xml:space="preserve"> </w:t>
      </w:r>
      <w:r>
        <w:t xml:space="preserve">; et dans les deux modèles les variables de températures complétaient le trio de tête des varibles d’importance. Ces observations, similaires à celles effectuées sur la zone de Diébougou, montrent que sur la zone de Korhogo comme sur celle de Diébougou i)</w:t>
      </w:r>
      <w:r>
        <w:t xml:space="preserve"> </w:t>
      </w:r>
      <w:r>
        <w:rPr>
          <w:iCs/>
          <w:i/>
        </w:rPr>
        <w:t xml:space="preserve">An. gambiae s.s.</w:t>
      </w:r>
      <w:r>
        <w:t xml:space="preserve"> </w:t>
      </w:r>
      <w:r>
        <w:t xml:space="preserve">était attaché aux gites larvaires temporaires, remplis par les précipitations et ii) ses traits de vie (développement, survie) étaient fortement impactés par les conditions météorologiques. Le % de surface occupé par les zones rizicoles était respectivement la seconde et première variable paysagère la plus importante dans les modèles de présence et d’abondance de l’espèce, montrant ainsi que les rizicultures abritaient très probablement une forte densité de larves d’anophèles. Cette hypothèse est confirmée par une étude de terrain menée par l’équipe du projet REACT sur la zone de Korhogo visant à caractériser les gites larvaires d’</w:t>
      </w:r>
      <w:r>
        <w:rPr>
          <w:iCs/>
          <w:i/>
        </w:rPr>
        <w:t xml:space="preserve">Anopheles</w:t>
      </w:r>
      <w:r>
        <w:t xml:space="preserve"> </w:t>
      </w:r>
      <w:r>
        <w:t xml:space="preserve">spp</w:t>
      </w:r>
      <w:r>
        <w:t xml:space="preserve"> </w:t>
      </w:r>
      <w:r>
        <w:t xml:space="preserve">(</w:t>
      </w:r>
      <w:hyperlink w:anchor="ref-zogo_identification_2019">
        <w:r>
          <w:rPr>
            <w:rStyle w:val="Hyperlink"/>
          </w:rPr>
          <w:t xml:space="preserve">Zogo, Koffi, et al., 2019</w:t>
        </w:r>
      </w:hyperlink>
      <w:r>
        <w:t xml:space="preserve">)</w:t>
      </w:r>
      <w:r>
        <w:t xml:space="preserve">. La surface en savanes ligneuses, négativement correlée avec la probabilité de présence d’</w:t>
      </w:r>
      <w:r>
        <w:rPr>
          <w:iCs/>
          <w:i/>
        </w:rPr>
        <w:t xml:space="preserve">An. gambiae s.s.</w:t>
      </w:r>
      <w:r>
        <w:t xml:space="preserve">, était la variable paysagère la plus importante dans le modèle de présence de l’espèce ; corroborant les observations effectuées sur la zone de Diébougou et les hypothèses sur l’importance de l’ouverture des milieux sur la densité agressive des vecteurs.</w:t>
      </w:r>
      <w:r>
        <w:br/>
      </w:r>
    </w:p>
    <w:p>
      <w:pPr>
        <w:pStyle w:val="BodyText"/>
      </w:pPr>
      <w:r>
        <w:t xml:space="preserve">Les cross-correlations maps d’</w:t>
      </w:r>
      <w:r>
        <w:rPr>
          <w:iCs/>
          <w:i/>
        </w:rPr>
        <w:t xml:space="preserve">An. gambiae s.s.</w:t>
      </w:r>
      <w:r>
        <w:t xml:space="preserve"> </w:t>
      </w:r>
      <w:r>
        <w:t xml:space="preserve">montrent que, comme sur la zone de Diébougou, les conditions météorologiques sur la zone de Korhogo impactaient fortement tous les stades de développement de l’espèce, et qu’elles avaient parfois eu un impact plus important encore sur les périodes précédant la durée de vie de la génération échantillonnée. Les CCMs d’</w:t>
      </w:r>
      <w:r>
        <w:rPr>
          <w:iCs/>
          <w:i/>
        </w:rPr>
        <w:t xml:space="preserve">An. gambiae s.s.</w:t>
      </w:r>
      <w:r>
        <w:t xml:space="preserve"> </w:t>
      </w:r>
      <w:r>
        <w:t xml:space="preserve">dans les deux zones d’étude (Diébougou et Korhogo) se ressemblaient fortement, indiquant probablement des dynamiques de population de l’espèce très similaires sur ces deux zones - et peut-être, par extension, sur l’ensemble des zones de la sous-région )disposant de conditions climatiques similaires).</w:t>
      </w:r>
      <w:r>
        <w:br/>
      </w:r>
    </w:p>
    <w:p>
      <w:pPr>
        <w:pStyle w:val="BodyText"/>
      </w:pPr>
      <w:r>
        <w:t xml:space="preserve">Dans la zone de Korhogo, à la différence de Diébougou, les variables les plus importantes dans le modèle de présence d’</w:t>
      </w:r>
      <w:r>
        <w:rPr>
          <w:iCs/>
          <w:i/>
        </w:rPr>
        <w:t xml:space="preserve">An. funestus</w:t>
      </w:r>
      <w:r>
        <w:t xml:space="preserve"> </w:t>
      </w:r>
      <w:r>
        <w:t xml:space="preserve">étaient toutes trois météorologiques. Ainsi, contrairement aux observations effectuées sur la zone de Diébougou, la distribution spatio-temporelle d’</w:t>
      </w:r>
      <w:r>
        <w:rPr>
          <w:iCs/>
          <w:i/>
        </w:rPr>
        <w:t xml:space="preserve">An. funestus</w:t>
      </w:r>
      <w:r>
        <w:t xml:space="preserve"> </w:t>
      </w:r>
      <w:r>
        <w:t xml:space="preserve">sur la zone de Korhogo semblait être principalement conditionnée par les conditions météorologiques. Par contre, quand</w:t>
      </w:r>
      <w:r>
        <w:t xml:space="preserve"> </w:t>
      </w:r>
      <w:r>
        <w:rPr>
          <w:iCs/>
          <w:i/>
        </w:rPr>
        <w:t xml:space="preserve">An. funestus</w:t>
      </w:r>
      <w:r>
        <w:t xml:space="preserve"> </w:t>
      </w:r>
      <w:r>
        <w:t xml:space="preserve">était présent, son abondance semblait dépendre fortement des conditions paysagères (deux des trois variables les plus importantes du modèle d’abondance de l’espèce étaient paysagères), comme à Diébougou. En particulier, l’espèce semblait particulièrement attachée aux zones aquatiques semi-permanentes (trois des six variables les plus importantes du modèle d’abondance de l’espèce, dont les deux premières, étaient liées à des rivières inondées en saison des pluies). Les bords des rivières et autres zones aquatiques semi-permanentes semblaient donc constituer, comme à Diébougou, des gites larvaires préférentiels pour</w:t>
      </w:r>
      <w:r>
        <w:t xml:space="preserve"> </w:t>
      </w:r>
      <w:r>
        <w:rPr>
          <w:iCs/>
          <w:i/>
        </w:rPr>
        <w:t xml:space="preserve">An. funestus</w:t>
      </w:r>
      <w:r>
        <w:t xml:space="preserve">.</w:t>
      </w:r>
      <w:r>
        <w:br/>
      </w:r>
    </w:p>
    <w:p>
      <w:pPr>
        <w:pStyle w:val="BodyText"/>
      </w:pPr>
      <w:r>
        <w:t xml:space="preserve">Les modèles multivariés prédisaient correctement la présence et l’abondance des espèces. Comme à Diébougou, les principaux déterminants de la présence et de l’abondance des principales espèces d’anophèles ont ainsi probablement été intégrés dans les modèles et identifiés.</w:t>
      </w:r>
      <w:r>
        <w:br/>
      </w:r>
    </w:p>
    <w:p>
      <w:pPr>
        <w:pStyle w:val="BodyText"/>
      </w:pPr>
      <w:r>
        <w:t xml:space="preserve">Nous noterons pour terminer que les densités agressives moyennes ainsi que la proportion de sessions positives (avec au moins une piqûre) étaient très largement supérieures dans la zone de Korhogo que dans celle de Diébougou, bien que ces deux zones soient éloignées de 300 km seulement à vol d’oiseau. Des différences à la fois dans les régimes météorologiques et dans l’utilisation/occupation du sol de ces deux zones pourraient expliquer ces contrastes. Les précipitations plus abondantes et les températures diurnes maximum moins élevées à Korhogo qu’a Diébougou (voir section</w:t>
      </w:r>
      <w:r>
        <w:t xml:space="preserve"> </w:t>
      </w:r>
      <w:r>
        <w:t xml:space="preserve">??</w:t>
      </w:r>
      <w:r>
        <w:t xml:space="preserve">) peuvent impliquer, respectivement, des gites larvaires temporaires plus nombreux ou persistants et des taux de mortalité moins élevés dans la première zone que dans la seconde. Au niveau paysager, les gites larvaires permanents (zones rizicoles, barrages les irriguant) étaient plus abondants à Korhogo qu’à Diébougou, et les milieux</w:t>
      </w:r>
      <w:r>
        <w:t xml:space="preserve"> </w:t>
      </w:r>
      <w:r>
        <w:t xml:space="preserve">‘</w:t>
      </w:r>
      <w:r>
        <w:t xml:space="preserve">fermés</w:t>
      </w:r>
      <w:r>
        <w:t xml:space="preserve">’</w:t>
      </w:r>
      <w:r>
        <w:t xml:space="preserve"> </w:t>
      </w:r>
      <w:r>
        <w:t xml:space="preserve">(savanes ligneuses notamment) - qui réduisent</w:t>
      </w:r>
      <w:r>
        <w:t xml:space="preserve"> </w:t>
      </w:r>
      <w:r>
        <w:rPr>
          <w:iCs/>
          <w:i/>
        </w:rPr>
        <w:t xml:space="preserve">à priori</w:t>
      </w:r>
      <w:r>
        <w:t xml:space="preserve"> </w:t>
      </w:r>
      <w:r>
        <w:t xml:space="preserve">les densités agressives (voir article) - y étaient moins abondants (voir section</w:t>
      </w:r>
      <w:r>
        <w:t xml:space="preserve"> </w:t>
      </w:r>
      <w:r>
        <w:t xml:space="preserve">??</w:t>
      </w:r>
      <w:r>
        <w:t xml:space="preserve">). Ces différences, marquant par ailleurs un niveau d’anthropisation du territoire plus important à Korhogo qu’à Diébougou, pourraient ainsi également expliquer en partie les différences de densités agressives observées.</w:t>
      </w:r>
      <w:r>
        <w:br/>
      </w:r>
    </w:p>
    <w:bookmarkEnd w:id="195"/>
    <w:bookmarkStart w:id="196" w:name="conclusion"/>
    <w:p>
      <w:pPr>
        <w:pStyle w:val="Heading4"/>
      </w:pPr>
      <w:r>
        <w:t xml:space="preserve">Conclusion</w:t>
      </w:r>
    </w:p>
    <w:p>
      <w:pPr>
        <w:pStyle w:val="FirstParagraph"/>
      </w:pPr>
      <w:r>
        <w:t xml:space="preserve">Sur la zone de Korhogo, la distribution spatio-temporelle des vecteurs du paludisme, hétérogène, semblait être fortement déterminée et contrainte par les conditions météorologiques - plus encore que sur la zone de Diébougou. Les rizières, les rivières et les gites temporaires remplis par les précipitations semblaient constituer les gites larvaires des anophèles, comme cela a été confirmé par</w:t>
      </w:r>
      <w:r>
        <w:t xml:space="preserve"> </w:t>
      </w:r>
      <w:r>
        <w:t xml:space="preserve">(</w:t>
      </w:r>
      <w:hyperlink w:anchor="ref-zogo_identification_2019">
        <w:r>
          <w:rPr>
            <w:rStyle w:val="Hyperlink"/>
          </w:rPr>
          <w:t xml:space="preserve">Zogo, Koffi, et al., 2019</w:t>
        </w:r>
      </w:hyperlink>
      <w:r>
        <w:t xml:space="preserve">)</w:t>
      </w:r>
      <w:r>
        <w:t xml:space="preserve">. Les densités agressives des vecteurs étaient largement supérieures à Korhogo qu’à Diébougou. Des différences notables entre les deux territoires dans les régimes météorologiques et dans le niveau d’anthropisation pourraient expliquer ces différences. Comme sur la zone de Diébougou, la bonne prédictibilité des densités agressives des vecteurs sur la zone de Korhogo ouvre la voie au développement des outils opérationnels de gestion du risque de transmission décrits dans l’article (plans d’action de lutte antivectorielle, cartes saisonnières de la distribution des vecteurs à l’échelle du village, systèmes d’alerte précoces). Par ailleurs, les similitudes à la fois dans les CCMs, dans l’importance relative des prédicteurs dans les modèles multivariés, et dans la nature des relations capturées par ces mêmes modèles, ouvre des perspectives intéressantes quand à la transposabilité des modèles prédictifs de présence et abondance des anophèles dans la sous-région, hors des zones d’étude du projet REACT.</w:t>
      </w:r>
    </w:p>
    <w:bookmarkEnd w:id="196"/>
    <w:bookmarkEnd w:id="197"/>
    <w:bookmarkEnd w:id="198"/>
    <w:bookmarkStart w:id="201" w:name="data-mining-resistances"/>
    <w:p>
      <w:pPr>
        <w:pStyle w:val="Heading1"/>
      </w:pPr>
      <w:r>
        <w:t xml:space="preserve">Article n°2 - Modélisation des dynamiques spatio-temporelles des résistances physiologiques et comportementales des vecteurs</w:t>
      </w:r>
    </w:p>
    <w:p>
      <w:pPr>
        <w:pStyle w:val="FirstParagraph"/>
      </w:pPr>
      <w:r>
        <w:t xml:space="preserve">L’étude exposée dans le chapitre précédent nous a permis de préciser certaines caractéristiques de la niche écologique des principales espèces vectrices du paludisme dans nos deux zones d’étude. Dans cette seconde étude, nous nous intéressons aux résistances, physiologiques et comportementales, des vecteurs. Les objectifs, conceptuellement, sont similaires : approfondir les connaissances sur les déterminants de la prévalence des résistances physiologiques et comportementales des anophèles dans nos zones d’étude ; et évaluer la prédictibilité de la présence de ces résistances chez les vecteurs. Pour cela, au même titre que pour l’étude précédente nous faisons appel à la modélisation statistique dans une approche holistico-inductive. Nos variables explicatives sont nombreuses, variées et fines : lutte anti-vectorielle, disponibilité de l’hôte et micro-climat pendant la recherche de repas de sang, etc. L’enjeu ici est double : capturer et interpréter des associations entre environnement et résistances des vecteurs potentiellement complexes et non-hypothétisées, et quantifier précisement l’impact de certaines variables - en particulier celles liées à la lutte anti-vectorielle, principal déterminant supposé du développement des résistances. Aussi, nous faisons appel à la fois à des modèles non-paramétriques et paramétriques. Cette étude est présentée sous la forme d’un article scientifique entièrement rédigé au moment de l’écriture de ce manuscrit. Dans ce chapitre, nous résumons puis intégrons l’article en l’état.</w:t>
      </w:r>
    </w:p>
    <w:bookmarkStart w:id="199" w:name="résumé-de-larticle"/>
    <w:p>
      <w:pPr>
        <w:pStyle w:val="Heading2"/>
      </w:pPr>
      <w:r>
        <w:t xml:space="preserve">Résumé de l’article</w:t>
      </w:r>
    </w:p>
    <w:p>
      <w:pPr>
        <w:pStyle w:val="FirstParagraph"/>
      </w:pPr>
      <w:r>
        <w:t xml:space="preserve">Les objectifs principaux de cette étude étaient i) d’approfondir les connaissances sur les déterminants des résistances physiologiques et comportementales des anophèles dans nos zones d’étude, et ii) d’évaluer la prédictibilité de ces résistances chez les anophèles dans l’espace et dans le temps. Plus spécifiquement, les questions soulevées étaient les suivantes :</w:t>
      </w:r>
    </w:p>
    <w:p>
      <w:pPr>
        <w:numPr>
          <w:ilvl w:val="0"/>
          <w:numId w:val="1024"/>
        </w:numPr>
        <w:pStyle w:val="Compact"/>
      </w:pPr>
      <w:r>
        <w:t xml:space="preserve">Quelle est la contribution respective de l’agriculture et de la lutte anti-vectorielle dans le développement des résistances physiologiques sur nos territoires d’étude ?</w:t>
      </w:r>
    </w:p>
    <w:p>
      <w:pPr>
        <w:numPr>
          <w:ilvl w:val="0"/>
          <w:numId w:val="1024"/>
        </w:numPr>
        <w:pStyle w:val="Compact"/>
      </w:pPr>
      <w:r>
        <w:t xml:space="preserve">Les résistances comportementales augmentent-elles en réponse à la lutte anti-vectorielle sur nos zones d’étude (cad. les résistances comportementales sont-elles constitutives) ?</w:t>
      </w:r>
    </w:p>
    <w:p>
      <w:pPr>
        <w:numPr>
          <w:ilvl w:val="0"/>
          <w:numId w:val="1024"/>
        </w:numPr>
        <w:pStyle w:val="Compact"/>
      </w:pPr>
      <w:r>
        <w:t xml:space="preserve">Les comportements des vecteurs sont-ils influencés par les conditions micro-climatiques pendant la recherche de repas de sang (cad. les résistances comportementales sont-elles inductibles) ?</w:t>
      </w:r>
    </w:p>
    <w:p>
      <w:pPr>
        <w:numPr>
          <w:ilvl w:val="0"/>
          <w:numId w:val="1024"/>
        </w:numPr>
        <w:pStyle w:val="Compact"/>
      </w:pPr>
      <w:r>
        <w:t xml:space="preserve">Quelle stratégie de protection aux insecticides (résistance comportementale ou résistance physiologique) apparaît et se répand le plus rapidement une population de vecteurs ?</w:t>
      </w:r>
    </w:p>
    <w:p>
      <w:pPr>
        <w:numPr>
          <w:ilvl w:val="0"/>
          <w:numId w:val="1024"/>
        </w:numPr>
        <w:pStyle w:val="Compact"/>
      </w:pPr>
      <w:r>
        <w:t xml:space="preserve">Les résistances physiologiques influencent-elles les résistances comportementales ?</w:t>
      </w:r>
    </w:p>
    <w:p>
      <w:pPr>
        <w:numPr>
          <w:ilvl w:val="0"/>
          <w:numId w:val="1024"/>
        </w:numPr>
        <w:pStyle w:val="Compact"/>
      </w:pPr>
      <w:r>
        <w:t xml:space="preserve">Les résistances sont-elles hétérogènes dans l’espace et dans le temps à fine échelle spatiale ?</w:t>
      </w:r>
    </w:p>
    <w:p>
      <w:pPr>
        <w:numPr>
          <w:ilvl w:val="0"/>
          <w:numId w:val="1024"/>
        </w:numPr>
        <w:pStyle w:val="Compact"/>
      </w:pPr>
      <w:r>
        <w:t xml:space="preserve">Peut-on expliquer et prédire la prévalence des résistances dans l’espace et dans le temps ?</w:t>
      </w:r>
    </w:p>
    <w:p>
      <w:pPr>
        <w:pStyle w:val="FirstParagraph"/>
      </w:pPr>
      <w:r>
        <w:t xml:space="preserve">Nous avons modélisé six indicateurs de résistance des vecteurs, dont trois de résistance comportementale et trois de résistance physiologique, pour chaque espèces d’anophèle et dans chaque zone d’étude : la probabilité pour un moustique capturé de piquer en extérieur (exophaphie), la probabilité pour un moustique capturé de piquer précocément (avant que 50 % de la population humaine soit déclarée comme étant sous une moustiquaire le soir) (activité précoce) ou tardivement (après que 50 % de la population humaine soit déclarée comme étant hors d’une moustiquaire le matin) (activité tardive), et les probabilités pour un moustique capturé de porter un allèle résistant pour chacune des mutations kdr-w, kdr-e, et ace-1 (les modèles de résistance physiologiques ont été générés uniquement sur la zone de Diébougou, les données n’étant pas exhaustives sur la zone de Korhogo). Les variables explicatives, principalement environnementales, appartenaient à six groupes : lutte anti-vectorielle, disponibilité de l’hôte humain au moment de la recherche de repas de sang, conditions micro-climatiques au moment de la recherche de repas de sang, conditions météorologiques précédant la capture, conditions paysagères, résistance des vecteurs, abondance des vecteurs. Nous avons modélisé chaque indicateur de résistance à l’aide de deux modèles statistiques : un modèle paramétrique d’une part (GLMM binomial) afin de mesurer statistiquement l’impact de certaines variables explicatives d’intérêt (notamment celles liées à la LAV); et un modèle non-paramétrique d’autre part (forêt alétoire) pour maximiser les chances de capturer des associations entre variables potentiellement complexes. Nous avons calculé les performances explicatives et prédictives des modèles et avons interprété les modèles à l’aide des</w:t>
      </w:r>
      <w:r>
        <w:t xml:space="preserve"> </w:t>
      </w:r>
      <w:r>
        <w:rPr>
          <w:iCs/>
          <w:i/>
        </w:rPr>
        <w:t xml:space="preserve">partial dependence plots</w:t>
      </w:r>
      <w:r>
        <w:t xml:space="preserve"> </w:t>
      </w:r>
      <w:r>
        <w:t xml:space="preserve">et des informations plus classiques en sortie des GLMM binomiaux (coefficients, p-values, intervalles de confiances).</w:t>
      </w:r>
      <w:r>
        <w:br/>
      </w:r>
    </w:p>
    <w:p>
      <w:pPr>
        <w:pStyle w:val="BodyText"/>
      </w:pPr>
      <w:r>
        <w:t xml:space="preserve">Nous avons observé que pour une espèce et un indicateur de résistance donnés, la proportion de vecteurs résistants était, dans l’ensemble, relativement stable dans l’espace (entre les villages) et dans le temps (entre les missions de captures entomologiques) ; bien que de légères variations fussent présentes. Les GLMM ont capturé de nombreuses associations significatives entre les variables environnementales et les résistances des vecteurs. Dans l’ensemble, les performances explicatives et prédictives des modèles étaient cependant faibles ; en particulier pour les modèles de résistance comportementales. Sur la base des sorties des modèles, nous avons émis plusieurs hypothèses sur les déterminants des résistances physiologiques et comportementales des vecteurs sur nos zones d’étude. En particulier, nous avons conjecturé que :</w:t>
      </w:r>
    </w:p>
    <w:p>
      <w:pPr>
        <w:numPr>
          <w:ilvl w:val="0"/>
          <w:numId w:val="1025"/>
        </w:numPr>
        <w:pStyle w:val="Compact"/>
      </w:pPr>
      <w:r>
        <w:t xml:space="preserve">Les résistances physiologiques des vecteurs sur la zone de Diébougou étaient davantage causées par les insecticides utilisés dans la LAV que ceux utilisés en agriculture ;</w:t>
      </w:r>
    </w:p>
    <w:p>
      <w:pPr>
        <w:numPr>
          <w:ilvl w:val="0"/>
          <w:numId w:val="1025"/>
        </w:numPr>
        <w:pStyle w:val="Compact"/>
      </w:pPr>
      <w:r>
        <w:t xml:space="preserve">Dans l’ensemble, les résistances comportementales des vecteurs semblaient augmenter sur nos zones, très probablement en réponse à la LAV ;</w:t>
      </w:r>
    </w:p>
    <w:p>
      <w:pPr>
        <w:numPr>
          <w:ilvl w:val="0"/>
          <w:numId w:val="1025"/>
        </w:numPr>
        <w:pStyle w:val="Compact"/>
      </w:pPr>
      <w:r>
        <w:t xml:space="preserve">Les résistances physiologiques semblaient se développer plus rapidement que les résistances comportementales ;</w:t>
      </w:r>
    </w:p>
    <w:p>
      <w:pPr>
        <w:numPr>
          <w:ilvl w:val="0"/>
          <w:numId w:val="1025"/>
        </w:numPr>
        <w:pStyle w:val="Compact"/>
      </w:pPr>
      <w:r>
        <w:t xml:space="preserve">Il ne semblait pas y avoir d’association entre les résistances physiologiques et les résistances comportementales.</w:t>
      </w:r>
    </w:p>
    <w:p>
      <w:pPr>
        <w:numPr>
          <w:ilvl w:val="0"/>
          <w:numId w:val="1025"/>
        </w:numPr>
        <w:pStyle w:val="Compact"/>
      </w:pPr>
      <w:r>
        <w:t xml:space="preserve">Certaines espèces d’anophèles semblaient adapter, modéremment, certains comportement de piqûre en fonction des conditions environnementales au moment de la recherche d’hôte (disponibilité de l’hôte et micro-climat). Cependant, dans l’ensemble, les comportements de piqûre des anophèles n’étaient que marginalement déterminés par les conditions environnementales immédiates au moment de la recherche de repas de sang.</w:t>
      </w:r>
      <w:r>
        <w:br/>
      </w:r>
    </w:p>
    <w:p>
      <w:pPr>
        <w:pStyle w:val="FirstParagraph"/>
      </w:pPr>
      <w:r>
        <w:t xml:space="preserve">Sur nos zones d’étude, les vecteurs du paludisme semblent donc continuer à s’adapter, physiologiquement et comportementalement, pour éviter ou contourner les effets léthaux des insecticides. Le principal déterminant de ces résistances semble être les insecticides utilisés dans la lutte anti-vectorelle. Afin d’éviter les rebonds de transmission, il y a donc urgence à repenser l’utilisation des insecticides dans la lutte anti-vectorielle.</w:t>
      </w:r>
    </w:p>
    <w:bookmarkEnd w:id="199"/>
    <w:bookmarkStart w:id="200" w:name="texte-intégral-de-larticle"/>
    <w:p>
      <w:pPr>
        <w:pStyle w:val="Heading2"/>
      </w:pPr>
      <w:r>
        <w:t xml:space="preserve">Texte intégral de l’article</w:t>
      </w:r>
    </w:p>
    <w:bookmarkEnd w:id="200"/>
    <w:bookmarkEnd w:id="201"/>
    <w:bookmarkStart w:id="226" w:name="complementary-studies"/>
    <w:p>
      <w:pPr>
        <w:pStyle w:val="Heading1"/>
      </w:pPr>
      <w:r>
        <w:t xml:space="preserve">Articles n°3 et 4 - Etudes complémentaires : contributions à des travaux de modélisation du risque</w:t>
      </w:r>
    </w:p>
    <w:p>
      <w:pPr>
        <w:pStyle w:val="FirstParagraph"/>
      </w:pPr>
      <w:r>
        <w:t xml:space="preserve">Ce chapitre présente deux travaux complémentaires, auxquels nous avons contribué dans le cadre de la thèse, de modélisation du risque de transmission (article n°3) ou de la transmission à proprement parler (article n°4) du paludisme dans la zone d’étude de Diébougou. Ces deux études ont fait l’objet de publications scientifiques que nous résumons ci-après, en précisant la contribution personnelle.</w:t>
      </w:r>
    </w:p>
    <w:bookmarkStart w:id="212" w:name="Xf7f0f85adafabf84cadda3be5a9d9e30ceabe35"/>
    <w:p>
      <w:pPr>
        <w:pStyle w:val="Heading2"/>
      </w:pPr>
      <w:r>
        <w:t xml:space="preserve">Article n°3 - Modélisation de l’exposition humaine à la piqûre d’anophèle</w:t>
      </w:r>
    </w:p>
    <w:bookmarkStart w:id="206" w:name="introduction-à-larticle"/>
    <w:p>
      <w:pPr>
        <w:pStyle w:val="Heading4"/>
      </w:pPr>
      <w:r>
        <w:t xml:space="preserve">Introduction à l’article</w:t>
      </w:r>
    </w:p>
    <w:p>
      <w:pPr>
        <w:pStyle w:val="FirstParagraph"/>
      </w:pPr>
      <w:r>
        <w:t xml:space="preserve">Le risque de transmission résiduelle du paludisme, à savoir la probabilité de contact homme-vecteur, dépend du comportement d’une part anophélien - ses horaires et sites d’activités de recherche de repas de sang - et d’autre part humain - ses horaires d’utilisation des moustiquaires et habitudes nocturnes. Le contact se produit quand les humains ne sont pas protégés par les moustiquaires et que simultanément, les anophèles sont en recherche de repas de sang. Aussi, avant de concevoir et dépoyer des mesures de LAV complémentaires aux MIILDA, il est important de mesurer le niveau de protection conféré par les moustiquaires (quantifier la transmission résiduelle) et de comprendre où (intérieur ou extérieur des habitations) et quand (à quels horaires de la nuit) les populations sont exposées à la piqûre (caractériser la transmission résiduelle). Cette connaissance permet d’élaborer des outils complémentaires de LAV efficaces, qui ciblent la part résiduelle de la transmission. L’étude présentée dans ce chapitre avait ainsi pour objectif de quantifier et caractériser le risque de transmission résiduelle du paludisme sur la zone d’étude de Diébougou, à l’aide des données de comportements humains et anophéliens et de modèles mathématiques éprouvés d’exposition à la piqûre. Cette étude a fait l’objet d’une publication scientifique, que nous résumons ci-dessous. Le texte intégral est disponible en annexe</w:t>
      </w:r>
      <w:r>
        <w:t xml:space="preserve"> </w:t>
      </w:r>
      <w:r>
        <w:t xml:space="preserve">??</w:t>
      </w:r>
      <w:r>
        <w:t xml:space="preserve"> </w:t>
      </w:r>
      <w:r>
        <w:t xml:space="preserve">et à l’URL suivante :</w:t>
      </w:r>
      <w:r>
        <w:t xml:space="preserve"> </w:t>
      </w:r>
      <w:hyperlink r:id="rId202">
        <w:r>
          <w:rPr>
            <w:rStyle w:val="Hyperlink"/>
          </w:rPr>
          <w:t xml:space="preserve">https://doi.org/10.1186/s12889-021-10304-y</w:t>
        </w:r>
      </w:hyperlink>
      <w:r>
        <w:t xml:space="preserve">.</w:t>
      </w:r>
      <w:r>
        <w:br/>
      </w:r>
    </w:p>
    <w:p>
      <w:pPr>
        <w:pStyle w:val="CaptionedFigure"/>
      </w:pPr>
      <w:r>
        <w:drawing>
          <wp:inline>
            <wp:extent cx="5334000" cy="2720956"/>
            <wp:effectExtent b="0" l="0" r="0" t="0"/>
            <wp:docPr descr="Figure 36: Couverture de la publication n°3" title="" id="204" name="Picture"/>
            <a:graphic>
              <a:graphicData uri="http://schemas.openxmlformats.org/drawingml/2006/picture">
                <pic:pic>
                  <pic:nvPicPr>
                    <pic:cNvPr descr="figure/article0_couverture.png" id="205" name="Picture"/>
                    <pic:cNvPicPr>
                      <a:picLocks noChangeArrowheads="1" noChangeAspect="1"/>
                    </pic:cNvPicPr>
                  </pic:nvPicPr>
                  <pic:blipFill>
                    <a:blip r:embed="rId203"/>
                    <a:stretch>
                      <a:fillRect/>
                    </a:stretch>
                  </pic:blipFill>
                  <pic:spPr bwMode="auto">
                    <a:xfrm>
                      <a:off x="0" y="0"/>
                      <a:ext cx="5334000" cy="2720956"/>
                    </a:xfrm>
                    <a:prstGeom prst="rect">
                      <a:avLst/>
                    </a:prstGeom>
                    <a:noFill/>
                    <a:ln w="9525">
                      <a:noFill/>
                      <a:headEnd/>
                      <a:tailEnd/>
                    </a:ln>
                  </pic:spPr>
                </pic:pic>
              </a:graphicData>
            </a:graphic>
          </wp:inline>
        </w:drawing>
      </w:r>
    </w:p>
    <w:p>
      <w:pPr>
        <w:pStyle w:val="ImageCaption"/>
      </w:pPr>
      <w:r>
        <w:t xml:space="preserve">Figure 36: Couverture de la publication n°3</w:t>
      </w:r>
    </w:p>
    <w:bookmarkEnd w:id="206"/>
    <w:bookmarkStart w:id="211" w:name="summary-article-1"/>
    <w:p>
      <w:pPr>
        <w:pStyle w:val="Heading3"/>
      </w:pPr>
      <w:r>
        <w:t xml:space="preserve">Résumé de l’article</w:t>
      </w:r>
    </w:p>
    <w:p>
      <w:pPr>
        <w:pStyle w:val="FirstParagraph"/>
      </w:pPr>
      <w:r>
        <w:t xml:space="preserve">Cette étude avait pour objectif de caractériser et quantifier la transmission résiduelle sur la zone d’étude de Diébougou (avant la mise en place de l’intervention dans le cadre de l’ERC) : mesurer le taux de protection conféré par les MIILDA, caractériser les sites et horaires où la population humaine est exposée à la piqûre d’anophèle, mesurer l’hétérogénéité spatio-temporelle de l’exposition au sein de la zone.</w:t>
      </w:r>
      <w:r>
        <w:br/>
      </w:r>
    </w:p>
    <w:p>
      <w:pPr>
        <w:pStyle w:val="BodyText"/>
      </w:pPr>
      <w:r>
        <w:t xml:space="preserve">Nous avons utilisé une méthode permettant l’étude des intéractions comportementales entre les moustiques et les humains, décrite par</w:t>
      </w:r>
      <w:r>
        <w:t xml:space="preserve"> </w:t>
      </w:r>
      <w:r>
        <w:t xml:space="preserve">(</w:t>
      </w:r>
      <w:hyperlink w:anchor="ref-killeen_quantifying_2006">
        <w:r>
          <w:rPr>
            <w:rStyle w:val="Hyperlink"/>
          </w:rPr>
          <w:t xml:space="preserve">Gerry F. Killeen et al., 2006</w:t>
        </w:r>
      </w:hyperlink>
      <w:r>
        <w:t xml:space="preserve">)</w:t>
      </w:r>
      <w:r>
        <w:t xml:space="preserve"> </w:t>
      </w:r>
      <w:r>
        <w:t xml:space="preserve">puis améliorée par</w:t>
      </w:r>
      <w:r>
        <w:t xml:space="preserve"> </w:t>
      </w:r>
      <w:r>
        <w:t xml:space="preserve">(</w:t>
      </w:r>
      <w:hyperlink w:anchor="ref-geissbuhler_interdependence_2007">
        <w:r>
          <w:rPr>
            <w:rStyle w:val="Hyperlink"/>
          </w:rPr>
          <w:t xml:space="preserve">Geissbühler et al., 2007</w:t>
        </w:r>
      </w:hyperlink>
      <w:r>
        <w:t xml:space="preserve">)</w:t>
      </w:r>
      <w:r>
        <w:t xml:space="preserve">. Cette approche mathématique consiste à croiser des données de comportements nocturnes horaires des anophèles (densités agressives horaires à l’intérieur et à l’extérieur des habitations) et des personnes (horaires d’entrée et sortie des habitations, horaires de sommeil et utilisation ou non de moustiquaire). En sortie, les modèles procurent des informations sur l’exposition des humains aux piqûres d’anophèles, à chaque heure de la nuit. Nous avons ainsi utilisé les données horaires de comportement humain</w:t>
      </w:r>
      <w:r>
        <w:rPr>
          <w:rStyle w:val="FootnoteReference"/>
        </w:rPr>
        <w:footnoteReference w:id="207"/>
      </w:r>
      <w:r>
        <w:t xml:space="preserve"> </w:t>
      </w:r>
      <w:r>
        <w:t xml:space="preserve">et d’agressivité des anophèles collectées sur la zone de Diébougou en entrée de ce modèle mathématique. Nous avons stratifié l’étude par village, saison et classe d’âge de la population, afin d’affiner la connaissance sur les populations les plus à risque et les éventuelles hétérogénéités spatio-temporelles de l’exposition. Nous avons finalement judicieusement agrégé les sortie des modèles pour calculer les indicateurs de transmission résiduelle suivants :</w:t>
      </w:r>
    </w:p>
    <w:p>
      <w:pPr>
        <w:numPr>
          <w:ilvl w:val="0"/>
          <w:numId w:val="1026"/>
        </w:numPr>
        <w:pStyle w:val="Compact"/>
      </w:pPr>
      <w:r>
        <w:t xml:space="preserve">efficacité moyenne réelle de la protection personnelle offerte par l’utilisation d’une MIILDA (proportion de l’exposition aux piqûres qui est évitée par l’utilisation d’une MIILDA),</w:t>
      </w:r>
    </w:p>
    <w:p>
      <w:pPr>
        <w:numPr>
          <w:ilvl w:val="0"/>
          <w:numId w:val="1026"/>
        </w:numPr>
        <w:pStyle w:val="Compact"/>
      </w:pPr>
      <w:r>
        <w:t xml:space="preserve">proportion de l’exposition se produisant à l’intérieur des habitations,</w:t>
      </w:r>
    </w:p>
    <w:p>
      <w:pPr>
        <w:numPr>
          <w:ilvl w:val="0"/>
          <w:numId w:val="1026"/>
        </w:numPr>
        <w:pStyle w:val="Compact"/>
      </w:pPr>
      <w:r>
        <w:t xml:space="preserve">proportion de l’exposition se produisant avant 20 h ou après 5 h, correspondant aux horaires respectivement précédant et succédant les périodes ou la majorité (&gt; 50 %) des utilisateurs de MIILDA sont protégés.</w:t>
      </w:r>
      <w:r>
        <w:br/>
      </w:r>
    </w:p>
    <w:p>
      <w:pPr>
        <w:pStyle w:val="FirstParagraph"/>
      </w:pPr>
      <w:r>
        <w:t xml:space="preserve">Le taux moyen déclaré d’utilisation des MIILDA était très élevé, quelle que soit la saison ou la tranche d’âge (minimum : 92.45% pour les + de 18 ans en saison sèche-chaude ; maximum : 100% pour les 0 à 5 ans en saison pluvieuse). Nous avons noté de legères variations dans les taux d’utilisation des MIILDA selon les saisons (taux légèrement inférieurs en saison sèche par rapport à la saison humide), les tranches d’âge (taux légèrement inférieurs chez les adultes par rapport aux enfants), et les villages.</w:t>
      </w:r>
      <w:r>
        <w:t xml:space="preserve"> </w:t>
      </w:r>
      <w:r>
        <w:t xml:space="preserve">Les populations humaines étaient exposées quasiment exclusivement à l’intérieur de leurs habitations (94 % de l’exposition se déroulait en intérieur); cependant, les MIILDA protégaient très efficacement de cette exposition (efficacité moyenne réelle comprise entre 80% et 85% selon les saisons). Le pic d’exposition résiduelle avait lieu en intérieur entre 5h et 6h du matin (33% à 57% de l’exposition résiduelle pour les utilisateurs de MIILDA), entre la sortie de l’espace de sommeil protégé par la moustiquaire et la sortie de l’habitation. Les piqûres précoces (avant 20h) représentaient moins de 12% de l’exposition résiduelle.</w:t>
      </w:r>
      <w:r>
        <w:br/>
      </w:r>
    </w:p>
    <w:p>
      <w:pPr>
        <w:pStyle w:val="CaptionedFigure"/>
      </w:pPr>
      <w:r>
        <w:drawing>
          <wp:inline>
            <wp:extent cx="5334000" cy="3897186"/>
            <wp:effectExtent b="0" l="0" r="0" t="0"/>
            <wp:docPr descr="Figure 37: Comportement horaire humain et anophélien (A, B, C) et exposition humaine horaire aux piqûres des utilisateurs de MIILDA (D, E, F)" title="" id="209" name="Picture"/>
            <a:graphic>
              <a:graphicData uri="http://schemas.openxmlformats.org/drawingml/2006/picture">
                <pic:pic>
                  <pic:nvPicPr>
                    <pic:cNvPr descr="figure/human_exposure_bf.png" id="210" name="Picture"/>
                    <pic:cNvPicPr>
                      <a:picLocks noChangeArrowheads="1" noChangeAspect="1"/>
                    </pic:cNvPicPr>
                  </pic:nvPicPr>
                  <pic:blipFill>
                    <a:blip r:embed="rId208"/>
                    <a:stretch>
                      <a:fillRect/>
                    </a:stretch>
                  </pic:blipFill>
                  <pic:spPr bwMode="auto">
                    <a:xfrm>
                      <a:off x="0" y="0"/>
                      <a:ext cx="5334000" cy="3897186"/>
                    </a:xfrm>
                    <a:prstGeom prst="rect">
                      <a:avLst/>
                    </a:prstGeom>
                    <a:noFill/>
                    <a:ln w="9525">
                      <a:noFill/>
                      <a:headEnd/>
                      <a:tailEnd/>
                    </a:ln>
                  </pic:spPr>
                </pic:pic>
              </a:graphicData>
            </a:graphic>
          </wp:inline>
        </w:drawing>
      </w:r>
    </w:p>
    <w:p>
      <w:pPr>
        <w:pStyle w:val="ImageCaption"/>
      </w:pPr>
      <w:r>
        <w:t xml:space="preserve">Figure 37: Comportement horaire humain et anophélien (A, B, C) et exposition humaine horaire aux piqûres des utilisateurs de MIILDA (D, E, F)</w:t>
      </w:r>
    </w:p>
    <w:p>
      <w:pPr>
        <w:pStyle w:val="BodyText"/>
      </w:pPr>
      <w:r>
        <w:t xml:space="preserve">Cette étude a mis en évidence l’importance des MIILDA dans la lutte contre la transmission du paludisme dans la zone de Diébougou. Elle a notamment montré que les populations les plus à risque (enfants de moins de 5 ans) étaient aussi les plus protégées. Les taux déclarés d’utilisation des MIILDA étaient supérieurs à ceux rapportés par l’OMS, ce qui pourrait être dû au fait que les enquêtes de comportement humain ont été effectuées peu de temps après la dernière distribution universelle de moustiquaires. L’exposition résiduelle à la piqûre d’anophèle s’effectuant en majorité à l’intérieur des habitations, les outils ou mesures de LAV complémentaires devraient cibler prioritairement les vecteurs endophages (peintures insecticides, fermeture des avant-toits, fermeture des plafonds, ou encore grillage/moustiquaires aux fenêtres).</w:t>
      </w:r>
      <w:r>
        <w:br/>
      </w:r>
    </w:p>
    <w:p>
      <w:pPr>
        <w:pStyle w:val="BodyText"/>
      </w:pPr>
      <w:r>
        <w:t xml:space="preserve">Dans la zone de Diébougou les MIILDA protègent à priori considérablement des piqûres des vecteurs du paludisme. Cependant, les utilisateurs de moustiquaires restent exposés principalement à l’intérieur de leurs habitations, le matin. Aussi, la combinaison MIILDA + outil complémentaire de LAV visant les vecteurs endophages est probablement la plus efficace pour lutter contre la transmission résiduelle du paludisme dans la zone de Diébougou.</w:t>
      </w:r>
    </w:p>
    <w:bookmarkEnd w:id="211"/>
    <w:bookmarkEnd w:id="212"/>
    <w:bookmarkStart w:id="225" w:name="Xed0ee375ed450aa50dedf11c0666d4ca260bbe0"/>
    <w:p>
      <w:pPr>
        <w:pStyle w:val="Heading2"/>
      </w:pPr>
      <w:r>
        <w:t xml:space="preserve">Article n°4 - Modélisation des dynamiques spatio-temporelles des cas de paludisme</w:t>
      </w:r>
    </w:p>
    <w:bookmarkStart w:id="217" w:name="introduction-à-larticle-1"/>
    <w:p>
      <w:pPr>
        <w:pStyle w:val="Heading4"/>
      </w:pPr>
      <w:r>
        <w:t xml:space="preserve">Introduction à l’article</w:t>
      </w:r>
    </w:p>
    <w:p>
      <w:pPr>
        <w:pStyle w:val="FirstParagraph"/>
      </w:pPr>
      <w:r>
        <w:t xml:space="preserve">Les travaux des chapitres 4 et 5 ont montré en quoi les images satellitaires et les modèles statistiques peuvent aider à comprendre et prédire les dynamiques entomologiques spatio-temporelles sur nos territoires d’étude ; ces éléments permettant d’optimiser la conception et le déploiement des outils de LAV. Mais ces mêmes outils peuvent également être utilisés en épidémiologie, pour expliquer ou prédire la distribution spatio-temporelle d’indicateurs épidémiologiques tels que la prévalence du paludisme. Une telle prédiction permet alors d’optimiser le déploiement de mesures de prévention, diagnostic ou traitement de la maladie. Dans cette dernière étude, nous avons étudié les dynamiques spatio-temporelles des cas de paludisme sur la zone de Diébougou. Nous montrons i) que la distribution spatiale des cas de paludisme est hétérogènes au sein du district sanitaire ; et ii) que nous pouvons y anticiper les pics épidémiques plusieurs semaines à l’avance grâce aux données satellitaires et aux modèles statistiques. Cette étude a fait l’objet d’une publication scientifique, que nous résumons ci-dessous. Le texte intégral est disponible en annexe</w:t>
      </w:r>
      <w:r>
        <w:t xml:space="preserve"> </w:t>
      </w:r>
      <w:r>
        <w:t xml:space="preserve">??</w:t>
      </w:r>
      <w:r>
        <w:t xml:space="preserve"> </w:t>
      </w:r>
      <w:r>
        <w:t xml:space="preserve">et à l’URL suivante :</w:t>
      </w:r>
      <w:r>
        <w:t xml:space="preserve"> </w:t>
      </w:r>
      <w:hyperlink r:id="rId213">
        <w:r>
          <w:rPr>
            <w:rStyle w:val="Hyperlink"/>
          </w:rPr>
          <w:t xml:space="preserve">https://doi.org/10.1038/s41598-021-99457-9</w:t>
        </w:r>
      </w:hyperlink>
      <w:r>
        <w:t xml:space="preserve">.</w:t>
      </w:r>
      <w:r>
        <w:br/>
      </w:r>
    </w:p>
    <w:p>
      <w:pPr>
        <w:pStyle w:val="CaptionedFigure"/>
      </w:pPr>
      <w:r>
        <w:drawing>
          <wp:inline>
            <wp:extent cx="5334000" cy="3253856"/>
            <wp:effectExtent b="0" l="0" r="0" t="0"/>
            <wp:docPr descr="Figure 38: Couverture de la publication n°4" title="" id="215" name="Picture"/>
            <a:graphic>
              <a:graphicData uri="http://schemas.openxmlformats.org/drawingml/2006/picture">
                <pic:pic>
                  <pic:nvPicPr>
                    <pic:cNvPr descr="figure/article2_couverture.png" id="216" name="Picture"/>
                    <pic:cNvPicPr>
                      <a:picLocks noChangeArrowheads="1" noChangeAspect="1"/>
                    </pic:cNvPicPr>
                  </pic:nvPicPr>
                  <pic:blipFill>
                    <a:blip r:embed="rId214"/>
                    <a:stretch>
                      <a:fillRect/>
                    </a:stretch>
                  </pic:blipFill>
                  <pic:spPr bwMode="auto">
                    <a:xfrm>
                      <a:off x="0" y="0"/>
                      <a:ext cx="5334000" cy="3253856"/>
                    </a:xfrm>
                    <a:prstGeom prst="rect">
                      <a:avLst/>
                    </a:prstGeom>
                    <a:noFill/>
                    <a:ln w="9525">
                      <a:noFill/>
                      <a:headEnd/>
                      <a:tailEnd/>
                    </a:ln>
                  </pic:spPr>
                </pic:pic>
              </a:graphicData>
            </a:graphic>
          </wp:inline>
        </w:drawing>
      </w:r>
    </w:p>
    <w:p>
      <w:pPr>
        <w:pStyle w:val="ImageCaption"/>
      </w:pPr>
      <w:r>
        <w:t xml:space="preserve">Figure 38: Couverture de la publication n°4</w:t>
      </w:r>
    </w:p>
    <w:bookmarkEnd w:id="217"/>
    <w:bookmarkStart w:id="224" w:name="résumé-de-larticle-1"/>
    <w:p>
      <w:pPr>
        <w:pStyle w:val="Heading3"/>
      </w:pPr>
      <w:r>
        <w:t xml:space="preserve">Résumé de l’article</w:t>
      </w:r>
    </w:p>
    <w:p>
      <w:pPr>
        <w:pStyle w:val="FirstParagraph"/>
      </w:pPr>
      <w:r>
        <w:t xml:space="preserve">Les objectifs de cette étude étaient i) d’étudier la dynamique spatiale de l’épidémiologie du paludisme sur la zone de Diébougou, en détectant d’éventuels</w:t>
      </w:r>
      <w:r>
        <w:t xml:space="preserve"> </w:t>
      </w:r>
      <w:r>
        <w:t xml:space="preserve">‘</w:t>
      </w:r>
      <w:r>
        <w:t xml:space="preserve">points chauds</w:t>
      </w:r>
      <w:r>
        <w:t xml:space="preserve">’</w:t>
      </w:r>
      <w:r>
        <w:t xml:space="preserve"> </w:t>
      </w:r>
      <w:r>
        <w:t xml:space="preserve">spatiaux de cas de paludisme et ii) de modéliser les dynamiques temporelles des cas de paludisme sur la zone d’étude en utilisant des données météorologiques satellitaires, afin d’appréhender la capacité à anticiper les épidémies de la maladie dans le district sanitaire.</w:t>
      </w:r>
      <w:r>
        <w:br/>
      </w:r>
    </w:p>
    <w:p>
      <w:pPr>
        <w:pStyle w:val="BodyText"/>
      </w:pPr>
      <w:r>
        <w:t xml:space="preserve">Les données hebdomadaires de cas de paludisme en 2016 et 2017 ont été collectées dans 13 centres de santé de la zone. Les points chauds spatiaux de cas de paludisme ont été détectés en utilisant des méthodes d’analyse spatiale. Les cas reportés de paludisme ont été comparés à la distance euclidienne du village au centre de santé et à la densité agressive des vecteurs afin de tenter d’expliquer les différences observées entre les villages. Pour l’analyse temporelle, les données météorologiques ont été extraites de produits satellitaires ou issues de modèles météorologiques, disponibles à l’échelle globale. Ces données sont produites en routine par le Centre Européen pour les Prévisions Météorologiques à Moyen Terme. Deux variables statistiques synthétisant les données météorologiques à l’échelle hebdomadaire (</w:t>
      </w:r>
      <w:r>
        <w:rPr>
          <w:iCs/>
          <w:i/>
        </w:rPr>
        <w:t xml:space="preserve">Synthetic Meteorological Indicator</w:t>
      </w:r>
      <w:r>
        <w:t xml:space="preserve"> </w:t>
      </w:r>
      <w:r>
        <w:t xml:space="preserve">ou SMI) ont été construites par analyse en composantes principales. Dans une première analyse bivariée, des modèles additifs généralisés (</w:t>
      </w:r>
      <w:r>
        <w:rPr>
          <w:iCs/>
          <w:i/>
        </w:rPr>
        <w:t xml:space="preserve">Generalized Additive Model</w:t>
      </w:r>
      <w:r>
        <w:t xml:space="preserve"> </w:t>
      </w:r>
      <w:r>
        <w:t xml:space="preserve">ou GAM) ont été entrainés pour modéliser le nombre de cas de paludisme à l’échelle de la zone d’étude entière et au pas de temps hebdomadaire en fonction de chacune des deux variables météorologiques, utilisées tour à tour sur chacune des 30 semaines précédant les cas de paludisme à expliquer/prédire. Les variables dont les</w:t>
      </w:r>
      <w:r>
        <w:t xml:space="preserve"> </w:t>
      </w:r>
      <w:r>
        <w:t xml:space="preserve">‘</w:t>
      </w:r>
      <w:r>
        <w:t xml:space="preserve">lags</w:t>
      </w:r>
      <w:r>
        <w:t xml:space="preserve">’</w:t>
      </w:r>
      <w:r>
        <w:t xml:space="preserve"> </w:t>
      </w:r>
      <w:r>
        <w:t xml:space="preserve">temporels conduisaient à la plus petite erreur dans ces analyses bivariées ont ensuite été utilisés en tant que variables indépendantes dans un GAM mixte multivarié, entrainé sur les données d’une année entière. La capacité prédictive de ce modèle multivarié a finalement été évaluée en prédisant le nombre de cas de paludisme sur une période de 17 semaines non utilisées pour entrainer le modèle (correspondant au pic épidémique suivant, en 2017) et en évaluant graphiquement la superposition des courbes épidémiologiques observées et prédites par le modèle.</w:t>
      </w:r>
      <w:r>
        <w:br/>
      </w:r>
    </w:p>
    <w:p>
      <w:pPr>
        <w:pStyle w:val="BodyText"/>
      </w:pPr>
      <w:r>
        <w:t xml:space="preserve">Nous avons relevé que la distribution des cas de paludisme était hétérogène, à la fois spatialement et temporellement. Quatre points chauds spatiaux ont été identifiés, regroupant chacun entre un et trois villages (figure</w:t>
      </w:r>
      <w:r>
        <w:t xml:space="preserve"> </w:t>
      </w:r>
      <w:r>
        <w:t xml:space="preserve">39</w:t>
      </w:r>
      <w:r>
        <w:t xml:space="preserve">). La distribution spatiale des cas de paludisme n’était corrélée ni à la distance euclidienne au centre de santé, ni aux densités agressives des anophèles. Aussi, l’hétérogénéité spatiale de la densité des vecteurs n’explique à priori pas, dans cette zone, celle de la prévalence des cas. Pour l’accès aux centres de santé, des variables plus réalistes pourraient être testées (par exemple, distance réelle au centre, ou encore accessibilité pendant la saison pluvieuse). D’autres facteurs, restants à explorer, pourraient expliquer l’hétérogénéité spatiale des cas de paludisme dans notre zone (différences dans les niveaux d’éducation, revenus, activités profesionnelles, possession et utilisation des MIILDA, etc.).</w:t>
      </w:r>
      <w:r>
        <w:br/>
      </w:r>
    </w:p>
    <w:p>
      <w:pPr>
        <w:pStyle w:val="CaptionedFigure"/>
      </w:pPr>
      <w:r>
        <w:drawing>
          <wp:inline>
            <wp:extent cx="5334000" cy="3870723"/>
            <wp:effectExtent b="0" l="0" r="0" t="0"/>
            <wp:docPr descr="Figure 39: Distribution spatiale des cas de paludisme reportés dans les 27 villages de la zone de Diébougou pour l’année épidémique 2016-2017. Les cercles rouges représentent les point chauds" title="" id="219" name="Picture"/>
            <a:graphic>
              <a:graphicData uri="http://schemas.openxmlformats.org/drawingml/2006/picture">
                <pic:pic>
                  <pic:nvPicPr>
                    <pic:cNvPr descr="figure/map_malaria_cases.png" id="220" name="Picture"/>
                    <pic:cNvPicPr>
                      <a:picLocks noChangeArrowheads="1" noChangeAspect="1"/>
                    </pic:cNvPicPr>
                  </pic:nvPicPr>
                  <pic:blipFill>
                    <a:blip r:embed="rId218"/>
                    <a:stretch>
                      <a:fillRect/>
                    </a:stretch>
                  </pic:blipFill>
                  <pic:spPr bwMode="auto">
                    <a:xfrm>
                      <a:off x="0" y="0"/>
                      <a:ext cx="5334000" cy="3870723"/>
                    </a:xfrm>
                    <a:prstGeom prst="rect">
                      <a:avLst/>
                    </a:prstGeom>
                    <a:noFill/>
                    <a:ln w="9525">
                      <a:noFill/>
                      <a:headEnd/>
                      <a:tailEnd/>
                    </a:ln>
                  </pic:spPr>
                </pic:pic>
              </a:graphicData>
            </a:graphic>
          </wp:inline>
        </w:drawing>
      </w:r>
    </w:p>
    <w:p>
      <w:pPr>
        <w:pStyle w:val="ImageCaption"/>
      </w:pPr>
      <w:r>
        <w:t xml:space="preserve">Figure 39: Distribution spatiale des cas de paludisme reportés dans les 27 villages de la zone de Diébougou pour l’année épidémique 2016-2017. Les cercles rouges représentent les point chauds</w:t>
      </w:r>
    </w:p>
    <w:p>
      <w:pPr>
        <w:pStyle w:val="BodyText"/>
      </w:pPr>
      <w:r>
        <w:t xml:space="preserve">Au niveau temporel, un pic d’épidémie a été relevé entre les mois d’août et novembre 2016. Les SMI présentant les meilleurs capacités prédictives (c.a.d. les plus faibles erreurs) étaient situés respectivement 9 et 16 semaines avant les cas prédits, pour chacun des deux SMI. Le modèle multivarié généré avec ces deux SMI prédisait correctement le départ de la prochaine épidémie, 9 semaines à l’avance, avec cependant un décalage (retard) de 3 semaines environ dans la courbe épidémiologique prédite (figure</w:t>
      </w:r>
      <w:r>
        <w:t xml:space="preserve"> </w:t>
      </w:r>
      <w:r>
        <w:t xml:space="preserve">40</w:t>
      </w:r>
      <w:r>
        <w:t xml:space="preserve">).</w:t>
      </w:r>
      <w:r>
        <w:br/>
      </w:r>
    </w:p>
    <w:p>
      <w:pPr>
        <w:pStyle w:val="CaptionedFigure"/>
      </w:pPr>
      <w:r>
        <w:drawing>
          <wp:inline>
            <wp:extent cx="5334000" cy="2892698"/>
            <wp:effectExtent b="0" l="0" r="0" t="0"/>
            <wp:docPr descr="Figure 40: Nombre cumulé de cas reportés (courbe noire) et prédits par le modèle statistique basé sur des données météorologiques (courbe orange) dans les 27 villages de la zone de Diébougou" title="" id="222" name="Picture"/>
            <a:graphic>
              <a:graphicData uri="http://schemas.openxmlformats.org/drawingml/2006/picture">
                <pic:pic>
                  <pic:nvPicPr>
                    <pic:cNvPr descr="figure/prediction_malaria_cases.png" id="223" name="Picture"/>
                    <pic:cNvPicPr>
                      <a:picLocks noChangeArrowheads="1" noChangeAspect="1"/>
                    </pic:cNvPicPr>
                  </pic:nvPicPr>
                  <pic:blipFill>
                    <a:blip r:embed="rId221"/>
                    <a:stretch>
                      <a:fillRect/>
                    </a:stretch>
                  </pic:blipFill>
                  <pic:spPr bwMode="auto">
                    <a:xfrm>
                      <a:off x="0" y="0"/>
                      <a:ext cx="5334000" cy="2892698"/>
                    </a:xfrm>
                    <a:prstGeom prst="rect">
                      <a:avLst/>
                    </a:prstGeom>
                    <a:noFill/>
                    <a:ln w="9525">
                      <a:noFill/>
                      <a:headEnd/>
                      <a:tailEnd/>
                    </a:ln>
                  </pic:spPr>
                </pic:pic>
              </a:graphicData>
            </a:graphic>
          </wp:inline>
        </w:drawing>
      </w:r>
    </w:p>
    <w:p>
      <w:pPr>
        <w:pStyle w:val="ImageCaption"/>
      </w:pPr>
      <w:r>
        <w:t xml:space="preserve">Figure 40: Nombre cumulé de cas reportés (courbe noire) et prédits par le modèle statistique basé sur des données météorologiques (courbe orange) dans les 27 villages de la zone de Diébougou</w:t>
      </w:r>
    </w:p>
    <w:p>
      <w:pPr>
        <w:pStyle w:val="BodyText"/>
      </w:pPr>
      <w:r>
        <w:t xml:space="preserve">Cette étude a ainsi montré que la distribution spatio-temporelle des cas de paludisme était hétérogène à l’échelle du district sanitaire, justifiant ainsi de cibler les interventions de prévention et traitement. Nous avons également montré qu’il est possible d’anticiper la prévalence du paludisme plusieurs semaines à l’avance sur la zone de Diébougou grâce aux données météorologiques issues des images satellitaires et aux modèles statistiques. Ces données et méthodes pourraient être utilisées pour mettre en place un système d’alerte précoce qui identifierait les zones (villages ou points chauds) et périodes prioritaires pour les campagnes de lutte contre le paludisme. Un tel système d’alerte précoce gagnerait à être alimenté en continu par les données épidémiologiques des centres de santé, afin d’améliorer les prédictions.</w:t>
      </w:r>
    </w:p>
    <w:bookmarkEnd w:id="224"/>
    <w:bookmarkEnd w:id="225"/>
    <w:bookmarkEnd w:id="226"/>
    <w:bookmarkStart w:id="227" w:name="discussion"/>
    <w:p>
      <w:pPr>
        <w:pStyle w:val="Heading1"/>
      </w:pPr>
      <w:r>
        <w:t xml:space="preserve">Discussion générale</w:t>
      </w:r>
    </w:p>
    <w:p>
      <w:pPr>
        <w:pStyle w:val="FirstParagraph"/>
      </w:pPr>
      <w:r>
        <w:t xml:space="preserve">–&gt;</w:t>
      </w:r>
    </w:p>
    <w:bookmarkEnd w:id="227"/>
    <w:bookmarkStart w:id="228" w:name="conclusion-1"/>
    <w:p>
      <w:pPr>
        <w:pStyle w:val="Heading1"/>
      </w:pPr>
      <w:r>
        <w:t xml:space="preserve">Conclusion</w:t>
      </w:r>
    </w:p>
    <w:p>
      <w:r>
        <w:br w:type="page"/>
      </w:r>
    </w:p>
    <w:bookmarkEnd w:id="228"/>
    <w:bookmarkStart w:id="446" w:name="bibliographie"/>
    <w:p>
      <w:pPr>
        <w:pStyle w:val="Heading1"/>
      </w:pPr>
      <w:r>
        <w:t xml:space="preserve">Bibliographie</w:t>
      </w:r>
    </w:p>
    <w:p>
      <w:pPr>
        <w:pStyle w:val="FirstParagraph"/>
      </w:pPr>
      <w:r>
        <w:rPr>
          <w:iCs/>
          <w:i/>
        </w:rPr>
        <w:t xml:space="preserve">Cette bibliographie inclut uniquement les références du corps du manuscrit (les références des articles sont inclues dans le corps des articles)</w:t>
      </w:r>
      <w:r>
        <w:br/>
      </w:r>
    </w:p>
    <w:p>
      <w:pPr>
        <w:pStyle w:val="BodyText"/>
      </w:pPr>
      <w:r>
        <w:t xml:space="preserve"> </w:t>
      </w:r>
      <w:r>
        <w:t xml:space="preserve"> </w:t>
      </w:r>
      <w:r>
        <w:t xml:space="preserve"> </w:t>
      </w:r>
      <w:r>
        <w:t xml:space="preserve"> </w:t>
      </w:r>
    </w:p>
    <w:bookmarkStart w:id="445" w:name="refs"/>
    <w:bookmarkStart w:id="230" w:name="ref-markdown"/>
    <w:p>
      <w:pPr>
        <w:pStyle w:val="Bibliography"/>
      </w:pPr>
      <w:r>
        <w:t xml:space="preserve">Allaire, J., Horner, J., Xie, Y., Marti, V., &amp; Porte, N. (2019).</w:t>
      </w:r>
      <w:r>
        <w:t xml:space="preserve"> </w:t>
      </w:r>
      <w:r>
        <w:rPr>
          <w:iCs/>
          <w:i/>
        </w:rPr>
        <w:t xml:space="preserve">Markdown: Render markdown with the c library ’sundown’</w:t>
      </w:r>
      <w:r>
        <w:t xml:space="preserve">. Retrieved from</w:t>
      </w:r>
      <w:r>
        <w:t xml:space="preserve"> </w:t>
      </w:r>
      <w:hyperlink r:id="rId229">
        <w:r>
          <w:rPr>
            <w:rStyle w:val="Hyperlink"/>
          </w:rPr>
          <w:t xml:space="preserve">https://CRAN.R-project.org/package=markdown</w:t>
        </w:r>
      </w:hyperlink>
    </w:p>
    <w:bookmarkEnd w:id="230"/>
    <w:bookmarkStart w:id="232" w:name="ref-alout_evaluation_2014"/>
    <w:p>
      <w:pPr>
        <w:pStyle w:val="Bibliography"/>
      </w:pPr>
      <w:r>
        <w:t xml:space="preserve">Alout, H., Krajacich, B. J., Meyers, J. I., Grubaugh, N. D., Brackney, D. E., Kobylinski, K. C., … Foy, B. D. (2014). Evaluation of ivermectin mass drug administration for malaria transmission control across different</w:t>
      </w:r>
      <w:r>
        <w:t xml:space="preserve"> </w:t>
      </w:r>
      <w:r>
        <w:t xml:space="preserve">West</w:t>
      </w:r>
      <w:r>
        <w:t xml:space="preserve"> </w:t>
      </w:r>
      <w:r>
        <w:t xml:space="preserve">African</w:t>
      </w:r>
      <w:r>
        <w:t xml:space="preserve"> </w:t>
      </w:r>
      <w:r>
        <w:t xml:space="preserve">environments.</w:t>
      </w:r>
      <w:r>
        <w:t xml:space="preserve"> </w:t>
      </w:r>
      <w:r>
        <w:rPr>
          <w:iCs/>
          <w:i/>
        </w:rPr>
        <w:t xml:space="preserve">Malaria Journal</w:t>
      </w:r>
      <w:r>
        <w:t xml:space="preserve">,</w:t>
      </w:r>
      <w:r>
        <w:t xml:space="preserve"> </w:t>
      </w:r>
      <w:r>
        <w:rPr>
          <w:iCs/>
          <w:i/>
        </w:rPr>
        <w:t xml:space="preserve">13</w:t>
      </w:r>
      <w:r>
        <w:t xml:space="preserve">(1), 417. http://doi.org/</w:t>
      </w:r>
      <w:hyperlink r:id="rId231">
        <w:r>
          <w:rPr>
            <w:rStyle w:val="Hyperlink"/>
          </w:rPr>
          <w:t xml:space="preserve">10.1186/1475-2875-13-417</w:t>
        </w:r>
      </w:hyperlink>
    </w:p>
    <w:bookmarkEnd w:id="232"/>
    <w:bookmarkStart w:id="234" w:name="ref-amboise_projet_1996"/>
    <w:p>
      <w:pPr>
        <w:pStyle w:val="Bibliography"/>
      </w:pPr>
      <w:r>
        <w:t xml:space="preserve">Amboise, G., &amp; Audet, J. (1996).</w:t>
      </w:r>
      <w:r>
        <w:t xml:space="preserve"> </w:t>
      </w:r>
      <w:r>
        <w:rPr>
          <w:iCs/>
          <w:i/>
        </w:rPr>
        <w:t xml:space="preserve">Le projet de recherche en administration: Un guide général à sa préparation</w:t>
      </w:r>
      <w:r>
        <w:t xml:space="preserve">. Faculté des sciences de l’administration, Université Laval. Retrieved from</w:t>
      </w:r>
      <w:r>
        <w:t xml:space="preserve"> </w:t>
      </w:r>
      <w:hyperlink r:id="rId233">
        <w:r>
          <w:rPr>
            <w:rStyle w:val="Hyperlink"/>
          </w:rPr>
          <w:t xml:space="preserve">https://books.google.fr/books?id=U2BcnQEACAAJ</w:t>
        </w:r>
      </w:hyperlink>
    </w:p>
    <w:bookmarkEnd w:id="234"/>
    <w:bookmarkStart w:id="236" w:name="ref-anderson_land_1976"/>
    <w:p>
      <w:pPr>
        <w:pStyle w:val="Bibliography"/>
      </w:pPr>
      <w:r>
        <w:t xml:space="preserve">Anderson, J. R., Hardy, E. E., Roach, J. T., &amp; Witmer, R. E. (1976).</w:t>
      </w:r>
      <w:r>
        <w:t xml:space="preserve"> </w:t>
      </w:r>
      <w:r>
        <w:rPr>
          <w:iCs/>
          <w:i/>
        </w:rPr>
        <w:t xml:space="preserve">A land use and land cover classification system for use with remote sensor data</w:t>
      </w:r>
      <w:r>
        <w:t xml:space="preserve"> </w:t>
      </w:r>
      <w:r>
        <w:t xml:space="preserve">(Report No. 964). Retrieved from</w:t>
      </w:r>
      <w:r>
        <w:t xml:space="preserve"> </w:t>
      </w:r>
      <w:hyperlink r:id="rId235">
        <w:r>
          <w:rPr>
            <w:rStyle w:val="Hyperlink"/>
          </w:rPr>
          <w:t xml:space="preserve">http://pubs.er.usgs.gov/publication/pp964</w:t>
        </w:r>
      </w:hyperlink>
    </w:p>
    <w:bookmarkEnd w:id="236"/>
    <w:bookmarkStart w:id="238" w:name="ref-arnaud_karl_1986"/>
    <w:p>
      <w:pPr>
        <w:pStyle w:val="Bibliography"/>
      </w:pPr>
      <w:r>
        <w:t xml:space="preserve">Arnaud, A.-J. (1986). Karl</w:t>
      </w:r>
      <w:r>
        <w:t xml:space="preserve"> </w:t>
      </w:r>
      <w:r>
        <w:t xml:space="preserve">R</w:t>
      </w:r>
      <w:r>
        <w:t xml:space="preserve">.</w:t>
      </w:r>
      <w:r>
        <w:t xml:space="preserve"> </w:t>
      </w:r>
      <w:r>
        <w:t xml:space="preserve">Popper</w:t>
      </w:r>
      <w:r>
        <w:t xml:space="preserve">,</w:t>
      </w:r>
      <w:r>
        <w:t xml:space="preserve"> </w:t>
      </w:r>
      <w:r>
        <w:t xml:space="preserve">Conjectures</w:t>
      </w:r>
      <w:r>
        <w:t xml:space="preserve"> </w:t>
      </w:r>
      <w:r>
        <w:t xml:space="preserve">et réfutations.</w:t>
      </w:r>
      <w:r>
        <w:t xml:space="preserve"> </w:t>
      </w:r>
      <w:r>
        <w:t xml:space="preserve">La</w:t>
      </w:r>
      <w:r>
        <w:t xml:space="preserve"> </w:t>
      </w:r>
      <w:r>
        <w:t xml:space="preserve">croissance du savoir scientifique, trad.</w:t>
      </w:r>
      <w:r>
        <w:t xml:space="preserve"> </w:t>
      </w:r>
      <w:r>
        <w:t xml:space="preserve">M</w:t>
      </w:r>
      <w:r>
        <w:t xml:space="preserve">.</w:t>
      </w:r>
      <w:r>
        <w:t xml:space="preserve">I</w:t>
      </w:r>
      <w:r>
        <w:t xml:space="preserve">. Et</w:t>
      </w:r>
      <w:r>
        <w:t xml:space="preserve"> </w:t>
      </w:r>
      <w:r>
        <w:t xml:space="preserve">M</w:t>
      </w:r>
      <w:r>
        <w:t xml:space="preserve">.</w:t>
      </w:r>
      <w:r>
        <w:t xml:space="preserve">B</w:t>
      </w:r>
      <w:r>
        <w:t xml:space="preserve">. De</w:t>
      </w:r>
      <w:r>
        <w:t xml:space="preserve"> </w:t>
      </w:r>
      <w:r>
        <w:t xml:space="preserve">Launay</w:t>
      </w:r>
      <w:r>
        <w:t xml:space="preserve">, 1985.</w:t>
      </w:r>
      <w:r>
        <w:t xml:space="preserve"> </w:t>
      </w:r>
      <w:r>
        <w:rPr>
          <w:iCs/>
          <w:i/>
        </w:rPr>
        <w:t xml:space="preserve">Droit Et Société</w:t>
      </w:r>
      <w:r>
        <w:t xml:space="preserve">,</w:t>
      </w:r>
      <w:r>
        <w:t xml:space="preserve"> </w:t>
      </w:r>
      <w:r>
        <w:rPr>
          <w:iCs/>
          <w:i/>
        </w:rPr>
        <w:t xml:space="preserve">4</w:t>
      </w:r>
      <w:r>
        <w:t xml:space="preserve">(1), 464–465. Retrieved from</w:t>
      </w:r>
      <w:r>
        <w:t xml:space="preserve"> </w:t>
      </w:r>
      <w:hyperlink r:id="rId237">
        <w:r>
          <w:rPr>
            <w:rStyle w:val="Hyperlink"/>
          </w:rPr>
          <w:t xml:space="preserve">https://www.persee.fr/doc/dreso_0769-3362_1986_num_4_1_1528_t1_0464_0000_2</w:t>
        </w:r>
      </w:hyperlink>
    </w:p>
    <w:bookmarkEnd w:id="238"/>
    <w:bookmarkStart w:id="240" w:name="Xc08e57118bddaa764cd6c8a5fc94486152b5744"/>
    <w:p>
      <w:pPr>
        <w:pStyle w:val="Bibliography"/>
      </w:pPr>
      <w:r>
        <w:t xml:space="preserve">At NASA GSFC, P. P. S. (PPS). (2019).</w:t>
      </w:r>
      <w:r>
        <w:t xml:space="preserve"> </w:t>
      </w:r>
      <w:r>
        <w:t xml:space="preserve">GPM</w:t>
      </w:r>
      <w:r>
        <w:t xml:space="preserve"> </w:t>
      </w:r>
      <w:r>
        <w:t xml:space="preserve">IMERG</w:t>
      </w:r>
      <w:r>
        <w:t xml:space="preserve"> </w:t>
      </w:r>
      <w:r>
        <w:t xml:space="preserve">Final</w:t>
      </w:r>
      <w:r>
        <w:t xml:space="preserve"> </w:t>
      </w:r>
      <w:r>
        <w:t xml:space="preserve">Precipitation</w:t>
      </w:r>
      <w:r>
        <w:t xml:space="preserve"> </w:t>
      </w:r>
      <w:r>
        <w:t xml:space="preserve">L3</w:t>
      </w:r>
      <w:r>
        <w:t xml:space="preserve"> </w:t>
      </w:r>
      <w:r>
        <w:t xml:space="preserve">Half</w:t>
      </w:r>
      <w:r>
        <w:t xml:space="preserve"> </w:t>
      </w:r>
      <w:r>
        <w:t xml:space="preserve">Hourly</w:t>
      </w:r>
      <w:r>
        <w:t xml:space="preserve"> </w:t>
      </w:r>
      <w:r>
        <w:t xml:space="preserve">0.1 degree x 0.1 degree</w:t>
      </w:r>
      <w:r>
        <w:t xml:space="preserve"> </w:t>
      </w:r>
      <w:r>
        <w:t xml:space="preserve">V06</w:t>
      </w:r>
      <w:r>
        <w:t xml:space="preserve">. NASA Goddard Earth Sciences Data; Information Services Center. http://doi.org/</w:t>
      </w:r>
      <w:hyperlink r:id="rId239">
        <w:r>
          <w:rPr>
            <w:rStyle w:val="Hyperlink"/>
          </w:rPr>
          <w:t xml:space="preserve">10.5067/GPM/IMERG/3B-HH/06</w:t>
        </w:r>
      </w:hyperlink>
    </w:p>
    <w:bookmarkEnd w:id="240"/>
    <w:bookmarkStart w:id="241" w:name="ref-aubreville_accord_1957"/>
    <w:p>
      <w:pPr>
        <w:pStyle w:val="Bibliography"/>
      </w:pPr>
      <w:r>
        <w:t xml:space="preserve">Aubréville, A. (1957). Accord à</w:t>
      </w:r>
      <w:r>
        <w:t xml:space="preserve"> </w:t>
      </w:r>
      <w:r>
        <w:t xml:space="preserve">Yangambi</w:t>
      </w:r>
      <w:r>
        <w:t xml:space="preserve"> </w:t>
      </w:r>
      <w:r>
        <w:t xml:space="preserve">sur la nomenclature des types africains de végétation.</w:t>
      </w:r>
      <w:r>
        <w:t xml:space="preserve"> </w:t>
      </w:r>
      <w:r>
        <w:rPr>
          <w:iCs/>
          <w:i/>
        </w:rPr>
        <w:t xml:space="preserve">Bois Et Forêts Des Tropiques</w:t>
      </w:r>
      <w:r>
        <w:t xml:space="preserve">, (51), 23–27.</w:t>
      </w:r>
    </w:p>
    <w:bookmarkEnd w:id="241"/>
    <w:bookmarkStart w:id="242" w:name="ref-baatz_schape_2000"/>
    <w:p>
      <w:pPr>
        <w:pStyle w:val="Bibliography"/>
      </w:pPr>
      <w:r>
        <w:t xml:space="preserve">Baatz, M., &amp; Schape, A. (2000). Multiresolution segmentation: An optimization approach for high quality multi-scale image segmentation.</w:t>
      </w:r>
      <w:r>
        <w:t xml:space="preserve"> </w:t>
      </w:r>
      <w:r>
        <w:rPr>
          <w:iCs/>
          <w:i/>
        </w:rPr>
        <w:t xml:space="preserve">In: Strobl, J., Blaschke, T. And Griesbner, G., Eds., Angewandte Geographische Informations-Verarbeitung, XII, Wichmann Verlag, Karlsruhe, Germany,</w:t>
      </w:r>
      <w:r>
        <w:t xml:space="preserve"> 12–23.</w:t>
      </w:r>
    </w:p>
    <w:bookmarkEnd w:id="242"/>
    <w:bookmarkStart w:id="243" w:name="ref-bar-yam_general_nodate"/>
    <w:p>
      <w:pPr>
        <w:pStyle w:val="Bibliography"/>
      </w:pPr>
      <w:r>
        <w:t xml:space="preserve">Bar-Yam, Y. (2002). General</w:t>
      </w:r>
      <w:r>
        <w:t xml:space="preserve"> </w:t>
      </w:r>
      <w:r>
        <w:t xml:space="preserve">Features</w:t>
      </w:r>
      <w:r>
        <w:t xml:space="preserve"> </w:t>
      </w:r>
      <w:r>
        <w:t xml:space="preserve">of</w:t>
      </w:r>
      <w:r>
        <w:t xml:space="preserve"> </w:t>
      </w:r>
      <w:r>
        <w:t xml:space="preserve">Complex</w:t>
      </w:r>
      <w:r>
        <w:t xml:space="preserve"> </w:t>
      </w:r>
      <w:r>
        <w:t xml:space="preserve">Systems</w:t>
      </w:r>
      <w:r>
        <w:t xml:space="preserve">.</w:t>
      </w:r>
      <w:r>
        <w:t xml:space="preserve"> </w:t>
      </w:r>
      <w:r>
        <w:rPr>
          <w:iCs/>
          <w:i/>
        </w:rPr>
        <w:t xml:space="preserve">Encyclopedia Of Life Support Systems</w:t>
      </w:r>
      <w:r>
        <w:t xml:space="preserve">, 10.</w:t>
      </w:r>
    </w:p>
    <w:bookmarkEnd w:id="243"/>
    <w:bookmarkStart w:id="245" w:name="ref-15172"/>
    <w:p>
      <w:pPr>
        <w:pStyle w:val="Bibliography"/>
      </w:pPr>
      <w:r>
        <w:t xml:space="preserve">Baudon, D., Molez, J.-F., &amp; Guiguemde, T. R. (1984).</w:t>
      </w:r>
      <w:r>
        <w:t xml:space="preserve"> </w:t>
      </w:r>
      <w:r>
        <w:t xml:space="preserve">A</w:t>
      </w:r>
      <w:r>
        <w:t xml:space="preserve">spects classiques et modernes des cycles de d</w:t>
      </w:r>
      <w:r>
        <w:t xml:space="preserve">é</w:t>
      </w:r>
      <w:r>
        <w:t xml:space="preserve">veloppement des plasmodiums humains.</w:t>
      </w:r>
      <w:r>
        <w:t xml:space="preserve"> </w:t>
      </w:r>
      <w:r>
        <w:rPr>
          <w:iCs/>
          <w:i/>
        </w:rPr>
        <w:t xml:space="preserve">E</w:t>
      </w:r>
      <w:r>
        <w:rPr>
          <w:iCs/>
          <w:i/>
        </w:rPr>
        <w:t xml:space="preserve">tudes</w:t>
      </w:r>
      <w:r>
        <w:rPr>
          <w:iCs/>
          <w:i/>
        </w:rPr>
        <w:t xml:space="preserve"> </w:t>
      </w:r>
      <w:r>
        <w:rPr>
          <w:iCs/>
          <w:i/>
        </w:rPr>
        <w:t xml:space="preserve">M</w:t>
      </w:r>
      <w:r>
        <w:rPr>
          <w:iCs/>
          <w:i/>
        </w:rPr>
        <w:t xml:space="preserve">é</w:t>
      </w:r>
      <w:r>
        <w:rPr>
          <w:iCs/>
          <w:i/>
        </w:rPr>
        <w:t xml:space="preserve">dicales</w:t>
      </w:r>
      <w:r>
        <w:t xml:space="preserve">, 61–78. Retrieved from</w:t>
      </w:r>
      <w:r>
        <w:t xml:space="preserve"> </w:t>
      </w:r>
      <w:hyperlink r:id="rId244">
        <w:r>
          <w:rPr>
            <w:rStyle w:val="Hyperlink"/>
          </w:rPr>
          <w:t xml:space="preserve">https://www.documentation.ird.fr/hor/fdi:15172</w:t>
        </w:r>
      </w:hyperlink>
    </w:p>
    <w:bookmarkEnd w:id="245"/>
    <w:bookmarkStart w:id="247" w:name="ref-bertozzi-villa_maps_2021"/>
    <w:p>
      <w:pPr>
        <w:pStyle w:val="Bibliography"/>
      </w:pPr>
      <w:r>
        <w:t xml:space="preserve">Bertozzi-Villa, A., Bever, C. A., Koenker, H., Weiss, D. J., Vargas-Ruiz, C., Nandi, A. K., … Bhatt, S. (2021). Maps and metrics of insecticide-treated net access, use, and nets-per-capita in</w:t>
      </w:r>
      <w:r>
        <w:t xml:space="preserve"> </w:t>
      </w:r>
      <w:r>
        <w:t xml:space="preserve">Africa</w:t>
      </w:r>
      <w:r>
        <w:t xml:space="preserve"> </w:t>
      </w:r>
      <w:r>
        <w:t xml:space="preserve">from 2000-2020.</w:t>
      </w:r>
      <w:r>
        <w:t xml:space="preserve"> </w:t>
      </w:r>
      <w:r>
        <w:rPr>
          <w:iCs/>
          <w:i/>
        </w:rPr>
        <w:t xml:space="preserve">Nature Communications</w:t>
      </w:r>
      <w:r>
        <w:t xml:space="preserve">,</w:t>
      </w:r>
      <w:r>
        <w:t xml:space="preserve"> </w:t>
      </w:r>
      <w:r>
        <w:rPr>
          <w:iCs/>
          <w:i/>
        </w:rPr>
        <w:t xml:space="preserve">12</w:t>
      </w:r>
      <w:r>
        <w:t xml:space="preserve">(1), 3589. http://doi.org/</w:t>
      </w:r>
      <w:hyperlink r:id="rId246">
        <w:r>
          <w:rPr>
            <w:rStyle w:val="Hyperlink"/>
          </w:rPr>
          <w:t xml:space="preserve">10.1038/s41467-021-23707-7</w:t>
        </w:r>
      </w:hyperlink>
    </w:p>
    <w:bookmarkEnd w:id="247"/>
    <w:bookmarkStart w:id="249" w:name="ref-bhatt_effect_2015"/>
    <w:p>
      <w:pPr>
        <w:pStyle w:val="Bibliography"/>
      </w:pPr>
      <w:r>
        <w:t xml:space="preserve">Bhatt, S., Weiss, D. J., Cameron, E., Bisanzio, D., Mappin, B., Dalrymple, U., … Gething, P. W. (2015). The effect of malaria control on</w:t>
      </w:r>
      <w:r>
        <w:t xml:space="preserve"> </w:t>
      </w:r>
      <w:r>
        <w:t xml:space="preserve">Plasmodium</w:t>
      </w:r>
      <w:r>
        <w:t xml:space="preserve"> </w:t>
      </w:r>
      <w:r>
        <w:t xml:space="preserve">falciparum in</w:t>
      </w:r>
      <w:r>
        <w:t xml:space="preserve"> </w:t>
      </w:r>
      <w:r>
        <w:t xml:space="preserve">Africa</w:t>
      </w:r>
      <w:r>
        <w:t xml:space="preserve"> </w:t>
      </w:r>
      <w:r>
        <w:t xml:space="preserve">between 2000 and 2015.</w:t>
      </w:r>
      <w:r>
        <w:t xml:space="preserve"> </w:t>
      </w:r>
      <w:r>
        <w:rPr>
          <w:iCs/>
          <w:i/>
        </w:rPr>
        <w:t xml:space="preserve">Nature</w:t>
      </w:r>
      <w:r>
        <w:t xml:space="preserve">,</w:t>
      </w:r>
      <w:r>
        <w:t xml:space="preserve"> </w:t>
      </w:r>
      <w:r>
        <w:rPr>
          <w:iCs/>
          <w:i/>
        </w:rPr>
        <w:t xml:space="preserve">526</w:t>
      </w:r>
      <w:r>
        <w:t xml:space="preserve">(7572), 207–211. http://doi.org/</w:t>
      </w:r>
      <w:hyperlink r:id="rId248">
        <w:r>
          <w:rPr>
            <w:rStyle w:val="Hyperlink"/>
          </w:rPr>
          <w:t xml:space="preserve">10.1038/nature15535</w:t>
        </w:r>
      </w:hyperlink>
    </w:p>
    <w:bookmarkEnd w:id="249"/>
    <w:bookmarkStart w:id="251" w:name="ref-bivand_rgrass7_2018"/>
    <w:p>
      <w:pPr>
        <w:pStyle w:val="Bibliography"/>
      </w:pPr>
      <w:r>
        <w:t xml:space="preserve">Bivand, R. (2018).</w:t>
      </w:r>
      <w:r>
        <w:t xml:space="preserve"> </w:t>
      </w:r>
      <w:r>
        <w:rPr>
          <w:iCs/>
          <w:i/>
        </w:rPr>
        <w:t xml:space="preserve">rgrass7:</w:t>
      </w:r>
      <w:r>
        <w:rPr>
          <w:iCs/>
          <w:i/>
        </w:rPr>
        <w:t xml:space="preserve"> </w:t>
      </w:r>
      <w:r>
        <w:rPr>
          <w:iCs/>
          <w:i/>
        </w:rPr>
        <w:t xml:space="preserve">Interface</w:t>
      </w:r>
      <w:r>
        <w:rPr>
          <w:iCs/>
          <w:i/>
        </w:rPr>
        <w:t xml:space="preserve"> </w:t>
      </w:r>
      <w:r>
        <w:rPr>
          <w:iCs/>
          <w:i/>
        </w:rPr>
        <w:t xml:space="preserve">Between</w:t>
      </w:r>
      <w:r>
        <w:rPr>
          <w:iCs/>
          <w:i/>
        </w:rPr>
        <w:t xml:space="preserve"> </w:t>
      </w:r>
      <w:r>
        <w:rPr>
          <w:iCs/>
          <w:i/>
        </w:rPr>
        <w:t xml:space="preserve">GRASS</w:t>
      </w:r>
      <w:r>
        <w:rPr>
          <w:iCs/>
          <w:i/>
        </w:rPr>
        <w:t xml:space="preserve"> </w:t>
      </w:r>
      <w:r>
        <w:rPr>
          <w:iCs/>
          <w:i/>
        </w:rPr>
        <w:t xml:space="preserve">7</w:t>
      </w:r>
      <w:r>
        <w:rPr>
          <w:iCs/>
          <w:i/>
        </w:rPr>
        <w:t xml:space="preserve"> </w:t>
      </w:r>
      <w:r>
        <w:rPr>
          <w:iCs/>
          <w:i/>
        </w:rPr>
        <w:t xml:space="preserve">Geographical</w:t>
      </w:r>
      <w:r>
        <w:rPr>
          <w:iCs/>
          <w:i/>
        </w:rPr>
        <w:t xml:space="preserve"> </w:t>
      </w:r>
      <w:r>
        <w:rPr>
          <w:iCs/>
          <w:i/>
        </w:rPr>
        <w:t xml:space="preserve">Information</w:t>
      </w:r>
      <w:r>
        <w:rPr>
          <w:iCs/>
          <w:i/>
        </w:rPr>
        <w:t xml:space="preserve"> </w:t>
      </w:r>
      <w:r>
        <w:rPr>
          <w:iCs/>
          <w:i/>
        </w:rPr>
        <w:t xml:space="preserve">System</w:t>
      </w:r>
      <w:r>
        <w:rPr>
          <w:iCs/>
          <w:i/>
        </w:rPr>
        <w:t xml:space="preserve"> </w:t>
      </w:r>
      <w:r>
        <w:rPr>
          <w:iCs/>
          <w:i/>
        </w:rPr>
        <w:t xml:space="preserve">and</w:t>
      </w:r>
      <w:r>
        <w:rPr>
          <w:iCs/>
          <w:i/>
        </w:rPr>
        <w:t xml:space="preserve"> </w:t>
      </w:r>
      <w:r>
        <w:rPr>
          <w:iCs/>
          <w:i/>
        </w:rPr>
        <w:t xml:space="preserve">R</w:t>
      </w:r>
      <w:r>
        <w:t xml:space="preserve">. Retrieved from</w:t>
      </w:r>
      <w:r>
        <w:t xml:space="preserve"> </w:t>
      </w:r>
      <w:hyperlink r:id="rId250">
        <w:r>
          <w:rPr>
            <w:rStyle w:val="Hyperlink"/>
          </w:rPr>
          <w:t xml:space="preserve">https://CRAN.R-project.org/package=rgrass7</w:t>
        </w:r>
      </w:hyperlink>
    </w:p>
    <w:bookmarkEnd w:id="251"/>
    <w:bookmarkStart w:id="253" w:name="ref-bivand_rgdal_2019"/>
    <w:p>
      <w:pPr>
        <w:pStyle w:val="Bibliography"/>
      </w:pPr>
      <w:r>
        <w:t xml:space="preserve">Bivand, R., Keitt, T., &amp; Rowlingson, B. (2019).</w:t>
      </w:r>
      <w:r>
        <w:t xml:space="preserve"> </w:t>
      </w:r>
      <w:r>
        <w:rPr>
          <w:iCs/>
          <w:i/>
        </w:rPr>
        <w:t xml:space="preserve">Rgdal:</w:t>
      </w:r>
      <w:r>
        <w:rPr>
          <w:iCs/>
          <w:i/>
        </w:rPr>
        <w:t xml:space="preserve"> </w:t>
      </w:r>
      <w:r>
        <w:rPr>
          <w:iCs/>
          <w:i/>
        </w:rPr>
        <w:t xml:space="preserve">Bindings</w:t>
      </w:r>
      <w:r>
        <w:rPr>
          <w:iCs/>
          <w:i/>
        </w:rPr>
        <w:t xml:space="preserve"> </w:t>
      </w:r>
      <w:r>
        <w:rPr>
          <w:iCs/>
          <w:i/>
        </w:rPr>
        <w:t xml:space="preserve">for the ’</w:t>
      </w:r>
      <w:r>
        <w:rPr>
          <w:iCs/>
          <w:i/>
        </w:rPr>
        <w:t xml:space="preserve">Geospatial</w:t>
      </w:r>
      <w:r>
        <w:rPr>
          <w:iCs/>
          <w:i/>
        </w:rPr>
        <w:t xml:space="preserve">’</w:t>
      </w:r>
      <w:r>
        <w:rPr>
          <w:iCs/>
          <w:i/>
        </w:rPr>
        <w:t xml:space="preserve"> </w:t>
      </w:r>
      <w:r>
        <w:rPr>
          <w:iCs/>
          <w:i/>
        </w:rPr>
        <w:t xml:space="preserve">Data</w:t>
      </w:r>
      <w:r>
        <w:rPr>
          <w:iCs/>
          <w:i/>
        </w:rPr>
        <w:t xml:space="preserve"> </w:t>
      </w:r>
      <w:r>
        <w:rPr>
          <w:iCs/>
          <w:i/>
        </w:rPr>
        <w:t xml:space="preserve">Abstraction</w:t>
      </w:r>
      <w:r>
        <w:rPr>
          <w:iCs/>
          <w:i/>
        </w:rPr>
        <w:t xml:space="preserve"> </w:t>
      </w:r>
      <w:r>
        <w:rPr>
          <w:iCs/>
          <w:i/>
        </w:rPr>
        <w:t xml:space="preserve">Library</w:t>
      </w:r>
      <w:r>
        <w:t xml:space="preserve">. Retrieved from</w:t>
      </w:r>
      <w:r>
        <w:t xml:space="preserve"> </w:t>
      </w:r>
      <w:hyperlink r:id="rId252">
        <w:r>
          <w:rPr>
            <w:rStyle w:val="Hyperlink"/>
          </w:rPr>
          <w:t xml:space="preserve">https://CRAN.R-project.org/package=rgdal</w:t>
        </w:r>
      </w:hyperlink>
    </w:p>
    <w:bookmarkEnd w:id="253"/>
    <w:bookmarkStart w:id="254" w:name="ref-Breiman1996OUTOFBAGE"/>
    <w:p>
      <w:pPr>
        <w:pStyle w:val="Bibliography"/>
      </w:pPr>
      <w:r>
        <w:t xml:space="preserve">Breiman, L. (1996). OUT-OF-BAG ESTIMATION.</w:t>
      </w:r>
    </w:p>
    <w:bookmarkEnd w:id="254"/>
    <w:bookmarkStart w:id="255" w:name="ref-breiman_random_2001"/>
    <w:p>
      <w:pPr>
        <w:pStyle w:val="Bibliography"/>
      </w:pPr>
      <w:r>
        <w:t xml:space="preserve">Breiman, L. (2001a). Random forests.</w:t>
      </w:r>
      <w:r>
        <w:t xml:space="preserve"> </w:t>
      </w:r>
      <w:r>
        <w:rPr>
          <w:iCs/>
          <w:i/>
        </w:rPr>
        <w:t xml:space="preserve">Machine Learning</w:t>
      </w:r>
      <w:r>
        <w:t xml:space="preserve">,</w:t>
      </w:r>
      <w:r>
        <w:t xml:space="preserve"> </w:t>
      </w:r>
      <w:r>
        <w:rPr>
          <w:iCs/>
          <w:i/>
        </w:rPr>
        <w:t xml:space="preserve">45</w:t>
      </w:r>
      <w:r>
        <w:t xml:space="preserve">(1), 5–32.</w:t>
      </w:r>
    </w:p>
    <w:bookmarkEnd w:id="255"/>
    <w:bookmarkStart w:id="257" w:name="ref-breiman_statistical_2001"/>
    <w:p>
      <w:pPr>
        <w:pStyle w:val="Bibliography"/>
      </w:pPr>
      <w:r>
        <w:t xml:space="preserve">Breiman, L. (2001b). Statistical</w:t>
      </w:r>
      <w:r>
        <w:t xml:space="preserve"> </w:t>
      </w:r>
      <w:r>
        <w:t xml:space="preserve">Modeling</w:t>
      </w:r>
      <w:r>
        <w:t xml:space="preserve">:</w:t>
      </w:r>
      <w:r>
        <w:t xml:space="preserve"> </w:t>
      </w:r>
      <w:r>
        <w:t xml:space="preserve">The</w:t>
      </w:r>
      <w:r>
        <w:t xml:space="preserve"> </w:t>
      </w:r>
      <w:r>
        <w:t xml:space="preserve">Two</w:t>
      </w:r>
      <w:r>
        <w:t xml:space="preserve"> </w:t>
      </w:r>
      <w:r>
        <w:t xml:space="preserve">Cultures</w:t>
      </w:r>
      <w:r>
        <w:t xml:space="preserve"> </w:t>
      </w:r>
      <w:r>
        <w:t xml:space="preserve">(with comments and a rejoinder by the author).</w:t>
      </w:r>
      <w:r>
        <w:t xml:space="preserve"> </w:t>
      </w:r>
      <w:r>
        <w:rPr>
          <w:iCs/>
          <w:i/>
        </w:rPr>
        <w:t xml:space="preserve">Statistical Science</w:t>
      </w:r>
      <w:r>
        <w:t xml:space="preserve">,</w:t>
      </w:r>
      <w:r>
        <w:t xml:space="preserve"> </w:t>
      </w:r>
      <w:r>
        <w:rPr>
          <w:iCs/>
          <w:i/>
        </w:rPr>
        <w:t xml:space="preserve">16</w:t>
      </w:r>
      <w:r>
        <w:t xml:space="preserve">(3), 199–231. http://doi.org/</w:t>
      </w:r>
      <w:hyperlink r:id="rId256">
        <w:r>
          <w:rPr>
            <w:rStyle w:val="Hyperlink"/>
          </w:rPr>
          <w:t xml:space="preserve">10.1214/ss/1009213726</w:t>
        </w:r>
      </w:hyperlink>
    </w:p>
    <w:bookmarkEnd w:id="257"/>
    <w:bookmarkStart w:id="259" w:name="ref-brenning_rsaga_2018"/>
    <w:p>
      <w:pPr>
        <w:pStyle w:val="Bibliography"/>
      </w:pPr>
      <w:r>
        <w:t xml:space="preserve">Brenning, A., Bangs, D., &amp; Becker, M. (2018).</w:t>
      </w:r>
      <w:r>
        <w:t xml:space="preserve"> </w:t>
      </w:r>
      <w:r>
        <w:rPr>
          <w:iCs/>
          <w:i/>
        </w:rPr>
        <w:t xml:space="preserve">RSAGA</w:t>
      </w:r>
      <w:r>
        <w:rPr>
          <w:iCs/>
          <w:i/>
        </w:rPr>
        <w:t xml:space="preserve">:</w:t>
      </w:r>
      <w:r>
        <w:rPr>
          <w:iCs/>
          <w:i/>
        </w:rPr>
        <w:t xml:space="preserve"> </w:t>
      </w:r>
      <w:r>
        <w:rPr>
          <w:iCs/>
          <w:i/>
        </w:rPr>
        <w:t xml:space="preserve">SAGA</w:t>
      </w:r>
      <w:r>
        <w:rPr>
          <w:iCs/>
          <w:i/>
        </w:rPr>
        <w:t xml:space="preserve"> </w:t>
      </w:r>
      <w:r>
        <w:rPr>
          <w:iCs/>
          <w:i/>
        </w:rPr>
        <w:t xml:space="preserve">Geoprocessing</w:t>
      </w:r>
      <w:r>
        <w:rPr>
          <w:iCs/>
          <w:i/>
        </w:rPr>
        <w:t xml:space="preserve"> </w:t>
      </w:r>
      <w:r>
        <w:rPr>
          <w:iCs/>
          <w:i/>
        </w:rPr>
        <w:t xml:space="preserve">and</w:t>
      </w:r>
      <w:r>
        <w:rPr>
          <w:iCs/>
          <w:i/>
        </w:rPr>
        <w:t xml:space="preserve"> </w:t>
      </w:r>
      <w:r>
        <w:rPr>
          <w:iCs/>
          <w:i/>
        </w:rPr>
        <w:t xml:space="preserve">Terrain</w:t>
      </w:r>
      <w:r>
        <w:rPr>
          <w:iCs/>
          <w:i/>
        </w:rPr>
        <w:t xml:space="preserve"> </w:t>
      </w:r>
      <w:r>
        <w:rPr>
          <w:iCs/>
          <w:i/>
        </w:rPr>
        <w:t xml:space="preserve">Analysis</w:t>
      </w:r>
      <w:r>
        <w:t xml:space="preserve">. Retrieved from</w:t>
      </w:r>
      <w:r>
        <w:t xml:space="preserve"> </w:t>
      </w:r>
      <w:hyperlink r:id="rId258">
        <w:r>
          <w:rPr>
            <w:rStyle w:val="Hyperlink"/>
          </w:rPr>
          <w:t xml:space="preserve">https://CRAN.R-project.org/package=RSAGA</w:t>
        </w:r>
      </w:hyperlink>
    </w:p>
    <w:bookmarkEnd w:id="259"/>
    <w:bookmarkStart w:id="261" w:name="ref-bzdok_statistics_2018"/>
    <w:p>
      <w:pPr>
        <w:pStyle w:val="Bibliography"/>
      </w:pPr>
      <w:r>
        <w:t xml:space="preserve">Bzdok, D., Altman, N., &amp; Krzywinski, M. (2018). Statistics versus machine learning.</w:t>
      </w:r>
      <w:r>
        <w:t xml:space="preserve"> </w:t>
      </w:r>
      <w:r>
        <w:rPr>
          <w:iCs/>
          <w:i/>
        </w:rPr>
        <w:t xml:space="preserve">Nature Methods</w:t>
      </w:r>
      <w:r>
        <w:t xml:space="preserve">,</w:t>
      </w:r>
      <w:r>
        <w:t xml:space="preserve"> </w:t>
      </w:r>
      <w:r>
        <w:rPr>
          <w:iCs/>
          <w:i/>
        </w:rPr>
        <w:t xml:space="preserve">15</w:t>
      </w:r>
      <w:r>
        <w:t xml:space="preserve">(4), 233–234. http://doi.org/</w:t>
      </w:r>
      <w:hyperlink r:id="rId260">
        <w:r>
          <w:rPr>
            <w:rStyle w:val="Hyperlink"/>
          </w:rPr>
          <w:t xml:space="preserve">10.1038/nmeth.4642</w:t>
        </w:r>
      </w:hyperlink>
    </w:p>
    <w:bookmarkEnd w:id="261"/>
    <w:bookmarkStart w:id="263" w:name="ref-carnevale_les_2009"/>
    <w:p>
      <w:pPr>
        <w:pStyle w:val="Bibliography"/>
      </w:pPr>
      <w:r>
        <w:t xml:space="preserve">Carnevale, P., Robert, V., Manguin, S., Corbel, V., Fontenille, D., Garros, C., … Roux, J. (2009).</w:t>
      </w:r>
      <w:r>
        <w:t xml:space="preserve"> </w:t>
      </w:r>
      <w:r>
        <w:rPr>
          <w:iCs/>
          <w:i/>
        </w:rPr>
        <w:t xml:space="preserve">Les anophèles : Biologie, transmission du</w:t>
      </w:r>
      <w:r>
        <w:rPr>
          <w:iCs/>
          <w:i/>
        </w:rPr>
        <w:t xml:space="preserve"> </w:t>
      </w:r>
      <w:r>
        <w:rPr>
          <w:iCs/>
          <w:i/>
        </w:rPr>
        <w:t xml:space="preserve">Plasmodium</w:t>
      </w:r>
      <w:r>
        <w:rPr>
          <w:iCs/>
          <w:i/>
        </w:rPr>
        <w:t xml:space="preserve"> </w:t>
      </w:r>
      <w:r>
        <w:rPr>
          <w:iCs/>
          <w:i/>
        </w:rPr>
        <w:t xml:space="preserve">et lutte antivectorielle</w:t>
      </w:r>
      <w:r>
        <w:t xml:space="preserve">. IRD. Retrieved from</w:t>
      </w:r>
      <w:r>
        <w:t xml:space="preserve"> </w:t>
      </w:r>
      <w:hyperlink r:id="rId262">
        <w:r>
          <w:rPr>
            <w:rStyle w:val="Hyperlink"/>
          </w:rPr>
          <w:t xml:space="preserve">http://www.documentation.ird.fr/hor/fdi:010047862</w:t>
        </w:r>
      </w:hyperlink>
    </w:p>
    <w:bookmarkEnd w:id="263"/>
    <w:bookmarkStart w:id="265" w:name="ref-carrasco_behavioural_2019"/>
    <w:p>
      <w:pPr>
        <w:pStyle w:val="Bibliography"/>
      </w:pPr>
      <w:r>
        <w:t xml:space="preserve">Carrasco, D., Lefèvre, T., Moiroux, N., Pennetier, C., Chandre, F., &amp; Cohuet, A. (2019). Behavioural adaptations of mosquito vectors to insecticide control.</w:t>
      </w:r>
      <w:r>
        <w:t xml:space="preserve"> </w:t>
      </w:r>
      <w:r>
        <w:rPr>
          <w:iCs/>
          <w:i/>
        </w:rPr>
        <w:t xml:space="preserve">Current Opinion in Insect Science</w:t>
      </w:r>
      <w:r>
        <w:t xml:space="preserve">,</w:t>
      </w:r>
      <w:r>
        <w:t xml:space="preserve"> </w:t>
      </w:r>
      <w:r>
        <w:rPr>
          <w:iCs/>
          <w:i/>
        </w:rPr>
        <w:t xml:space="preserve">34</w:t>
      </w:r>
      <w:r>
        <w:t xml:space="preserve">, 48–54. http://doi.org/</w:t>
      </w:r>
      <w:hyperlink r:id="rId264">
        <w:r>
          <w:rPr>
            <w:rStyle w:val="Hyperlink"/>
          </w:rPr>
          <w:t xml:space="preserve">10.1016/j.cois.2019.03.005</w:t>
        </w:r>
      </w:hyperlink>
    </w:p>
    <w:bookmarkEnd w:id="265"/>
    <w:bookmarkStart w:id="267" w:name="X501c770e99687640444aee23505d9318adaaca0"/>
    <w:p>
      <w:pPr>
        <w:pStyle w:val="Bibliography"/>
      </w:pPr>
      <w:r>
        <w:t xml:space="preserve">Center, N. G. E. S. D. A. I. S. (2019).</w:t>
      </w:r>
      <w:r>
        <w:t xml:space="preserve"> </w:t>
      </w:r>
      <w:r>
        <w:t xml:space="preserve">GPM</w:t>
      </w:r>
      <w:r>
        <w:t xml:space="preserve"> </w:t>
      </w:r>
      <w:r>
        <w:t xml:space="preserve">IMERG</w:t>
      </w:r>
      <w:r>
        <w:t xml:space="preserve"> </w:t>
      </w:r>
      <w:r>
        <w:t xml:space="preserve">Final</w:t>
      </w:r>
      <w:r>
        <w:t xml:space="preserve"> </w:t>
      </w:r>
      <w:r>
        <w:t xml:space="preserve">Precipitation</w:t>
      </w:r>
      <w:r>
        <w:t xml:space="preserve"> </w:t>
      </w:r>
      <w:r>
        <w:t xml:space="preserve">L3</w:t>
      </w:r>
      <w:r>
        <w:t xml:space="preserve"> </w:t>
      </w:r>
      <w:r>
        <w:t xml:space="preserve">1 day 0.1 degree x 0.1 degree</w:t>
      </w:r>
      <w:r>
        <w:t xml:space="preserve"> </w:t>
      </w:r>
      <w:r>
        <w:t xml:space="preserve">V06</w:t>
      </w:r>
      <w:r>
        <w:t xml:space="preserve">. NASA Goddard Earth Sciences Data; Information Services Center. http://doi.org/</w:t>
      </w:r>
      <w:hyperlink r:id="rId266">
        <w:r>
          <w:rPr>
            <w:rStyle w:val="Hyperlink"/>
          </w:rPr>
          <w:t xml:space="preserve">10.5067/GPM/IMERGDF/DAY/06</w:t>
        </w:r>
      </w:hyperlink>
    </w:p>
    <w:bookmarkEnd w:id="267"/>
    <w:bookmarkStart w:id="269" w:name="ref-cilss_2016_landscapes_nodate"/>
    <w:p>
      <w:pPr>
        <w:pStyle w:val="Bibliography"/>
      </w:pPr>
      <w:r>
        <w:t xml:space="preserve">CILSS, 2016. (2016). Landscapes of</w:t>
      </w:r>
      <w:r>
        <w:t xml:space="preserve"> </w:t>
      </w:r>
      <w:r>
        <w:t xml:space="preserve">West</w:t>
      </w:r>
      <w:r>
        <w:t xml:space="preserve"> </w:t>
      </w:r>
      <w:r>
        <w:t xml:space="preserve">Africa</w:t>
      </w:r>
      <w:r>
        <w:t xml:space="preserve">—</w:t>
      </w:r>
      <w:r>
        <w:t xml:space="preserve">A</w:t>
      </w:r>
      <w:r>
        <w:t xml:space="preserve"> </w:t>
      </w:r>
      <w:r>
        <w:t xml:space="preserve">window on a changing world:</w:t>
      </w:r>
      <w:r>
        <w:t xml:space="preserve"> </w:t>
      </w:r>
      <w:r>
        <w:t xml:space="preserve">Ouagadougou</w:t>
      </w:r>
      <w:r>
        <w:t xml:space="preserve">,</w:t>
      </w:r>
      <w:r>
        <w:t xml:space="preserve"> </w:t>
      </w:r>
      <w:r>
        <w:t xml:space="preserve">Burkina</w:t>
      </w:r>
      <w:r>
        <w:t xml:space="preserve"> </w:t>
      </w:r>
      <w:r>
        <w:t xml:space="preserve">Faso</w:t>
      </w:r>
      <w:r>
        <w:t xml:space="preserve">,</w:t>
      </w:r>
      <w:r>
        <w:t xml:space="preserve"> </w:t>
      </w:r>
      <w:r>
        <w:t xml:space="preserve">CILSS</w:t>
      </w:r>
      <w:r>
        <w:t xml:space="preserve">, 219 p. (</w:t>
      </w:r>
      <w:r>
        <w:t xml:space="preserve">Comité</w:t>
      </w:r>
      <w:r>
        <w:t xml:space="preserve"> </w:t>
      </w:r>
      <w:r>
        <w:t xml:space="preserve">Permanent</w:t>
      </w:r>
      <w:r>
        <w:t xml:space="preserve"> </w:t>
      </w:r>
      <w:r>
        <w:t xml:space="preserve">Inter</w:t>
      </w:r>
      <w:r>
        <w:t xml:space="preserve">-états de</w:t>
      </w:r>
      <w:r>
        <w:t xml:space="preserve"> </w:t>
      </w:r>
      <w:r>
        <w:t xml:space="preserve">Lutte</w:t>
      </w:r>
      <w:r>
        <w:t xml:space="preserve"> </w:t>
      </w:r>
      <w:r>
        <w:t xml:space="preserve">contre la</w:t>
      </w:r>
      <w:r>
        <w:t xml:space="preserve"> </w:t>
      </w:r>
      <w:r>
        <w:t xml:space="preserve">Sécheresse</w:t>
      </w:r>
      <w:r>
        <w:t xml:space="preserve"> </w:t>
      </w:r>
      <w:r>
        <w:t xml:space="preserve">dans le</w:t>
      </w:r>
      <w:r>
        <w:t xml:space="preserve"> </w:t>
      </w:r>
      <w:r>
        <w:t xml:space="preserve">Sahel</w:t>
      </w:r>
      <w:r>
        <w:t xml:space="preserve"> </w:t>
      </w:r>
      <w:r>
        <w:t xml:space="preserve">) [</w:t>
      </w:r>
      <w:r>
        <w:t xml:space="preserve">Also</w:t>
      </w:r>
      <w:r>
        <w:t xml:space="preserve"> </w:t>
      </w:r>
      <w:r>
        <w:t xml:space="preserve">available at https://eros.usgs.gov/westafrica]. http://doi.org/</w:t>
      </w:r>
      <w:hyperlink r:id="rId268">
        <w:r>
          <w:rPr>
            <w:rStyle w:val="Hyperlink"/>
          </w:rPr>
          <w:t xml:space="preserve">http://dx.doi.org/10.5066/F7N014QZ</w:t>
        </w:r>
      </w:hyperlink>
    </w:p>
    <w:bookmarkEnd w:id="269"/>
    <w:bookmarkStart w:id="270" w:name="ref-cohen_coefficient_1960"/>
    <w:p>
      <w:pPr>
        <w:pStyle w:val="Bibliography"/>
      </w:pPr>
      <w:r>
        <w:t xml:space="preserve">Cohen, J. (1960). A coefficient of agreement for nominal scales.</w:t>
      </w:r>
      <w:r>
        <w:t xml:space="preserve"> </w:t>
      </w:r>
      <w:r>
        <w:rPr>
          <w:iCs/>
          <w:i/>
        </w:rPr>
        <w:t xml:space="preserve">Educational and Psychological Measurement</w:t>
      </w:r>
      <w:r>
        <w:t xml:space="preserve">,</w:t>
      </w:r>
      <w:r>
        <w:t xml:space="preserve"> </w:t>
      </w:r>
      <w:r>
        <w:rPr>
          <w:iCs/>
          <w:i/>
        </w:rPr>
        <w:t xml:space="preserve">20</w:t>
      </w:r>
      <w:r>
        <w:t xml:space="preserve">(1), 37–46.</w:t>
      </w:r>
    </w:p>
    <w:bookmarkEnd w:id="270"/>
    <w:bookmarkStart w:id="271" w:name="ref-cohuet_isolation_2002"/>
    <w:p>
      <w:pPr>
        <w:pStyle w:val="Bibliography"/>
      </w:pPr>
      <w:r>
        <w:t xml:space="preserve">Cohuet, A., Simard, F., Berthomieu, A., Raymond, M., Fontenille, D., &amp; Weill, M. (2002). Isolation and characterization of microsatellite</w:t>
      </w:r>
      <w:r>
        <w:t xml:space="preserve"> </w:t>
      </w:r>
      <w:r>
        <w:t xml:space="preserve">DNA</w:t>
      </w:r>
      <w:r>
        <w:t xml:space="preserve"> </w:t>
      </w:r>
      <w:r>
        <w:t xml:space="preserve">markers in the malaria vector</w:t>
      </w:r>
      <w:r>
        <w:t xml:space="preserve"> </w:t>
      </w:r>
      <w:r>
        <w:t xml:space="preserve">Anopheles</w:t>
      </w:r>
      <w:r>
        <w:t xml:space="preserve"> </w:t>
      </w:r>
      <w:r>
        <w:t xml:space="preserve">funestus.</w:t>
      </w:r>
      <w:r>
        <w:t xml:space="preserve"> </w:t>
      </w:r>
      <w:r>
        <w:rPr>
          <w:iCs/>
          <w:i/>
        </w:rPr>
        <w:t xml:space="preserve">Molecular Ecology Notes</w:t>
      </w:r>
      <w:r>
        <w:t xml:space="preserve">,</w:t>
      </w:r>
      <w:r>
        <w:t xml:space="preserve"> </w:t>
      </w:r>
      <w:r>
        <w:rPr>
          <w:iCs/>
          <w:i/>
        </w:rPr>
        <w:t xml:space="preserve">2</w:t>
      </w:r>
      <w:r>
        <w:t xml:space="preserve">(4), 498–500.</w:t>
      </w:r>
    </w:p>
    <w:bookmarkEnd w:id="271"/>
    <w:bookmarkStart w:id="273" w:name="ref-conrad_system_2015"/>
    <w:p>
      <w:pPr>
        <w:pStyle w:val="Bibliography"/>
      </w:pPr>
      <w:r>
        <w:t xml:space="preserve">Conrad, O., Bechtel, B., Bock, M., Dietrich, H., Fischer, E., Gerlitz, L., … Böhner, J. (2015). System for</w:t>
      </w:r>
      <w:r>
        <w:t xml:space="preserve"> </w:t>
      </w:r>
      <w:r>
        <w:t xml:space="preserve">Automated</w:t>
      </w:r>
      <w:r>
        <w:t xml:space="preserve"> </w:t>
      </w:r>
      <w:r>
        <w:t xml:space="preserve">Geoscientific</w:t>
      </w:r>
      <w:r>
        <w:t xml:space="preserve"> </w:t>
      </w:r>
      <w:r>
        <w:t xml:space="preserve">Analyses</w:t>
      </w:r>
      <w:r>
        <w:t xml:space="preserve"> </w:t>
      </w:r>
      <w:r>
        <w:t xml:space="preserve">(</w:t>
      </w:r>
      <w:r>
        <w:t xml:space="preserve">SAGA</w:t>
      </w:r>
      <w:r>
        <w:t xml:space="preserve">) v. 2.1.4.</w:t>
      </w:r>
      <w:r>
        <w:t xml:space="preserve"> </w:t>
      </w:r>
      <w:r>
        <w:rPr>
          <w:iCs/>
          <w:i/>
        </w:rPr>
        <w:t xml:space="preserve">Geoscientific Model Development</w:t>
      </w:r>
      <w:r>
        <w:t xml:space="preserve">,</w:t>
      </w:r>
      <w:r>
        <w:t xml:space="preserve"> </w:t>
      </w:r>
      <w:r>
        <w:rPr>
          <w:iCs/>
          <w:i/>
        </w:rPr>
        <w:t xml:space="preserve">8</w:t>
      </w:r>
      <w:r>
        <w:t xml:space="preserve">(7), 1991–2007. http://doi.org/</w:t>
      </w:r>
      <w:hyperlink r:id="rId272">
        <w:r>
          <w:rPr>
            <w:rStyle w:val="Hyperlink"/>
          </w:rPr>
          <w:t xml:space="preserve">10.5194/gmd-8-1991-2015</w:t>
        </w:r>
      </w:hyperlink>
    </w:p>
    <w:bookmarkEnd w:id="273"/>
    <w:bookmarkStart w:id="275" w:name="ref-corbel_distribution_2013"/>
    <w:p>
      <w:pPr>
        <w:pStyle w:val="Bibliography"/>
      </w:pPr>
      <w:r>
        <w:t xml:space="preserve">Corbel, V., &amp; N’Guessan, R. (2013). Distribution,</w:t>
      </w:r>
      <w:r>
        <w:t xml:space="preserve"> </w:t>
      </w:r>
      <w:r>
        <w:t xml:space="preserve">Mechanisms</w:t>
      </w:r>
      <w:r>
        <w:t xml:space="preserve">,</w:t>
      </w:r>
      <w:r>
        <w:t xml:space="preserve"> </w:t>
      </w:r>
      <w:r>
        <w:t xml:space="preserve">Impact</w:t>
      </w:r>
      <w:r>
        <w:t xml:space="preserve"> </w:t>
      </w:r>
      <w:r>
        <w:t xml:space="preserve">and</w:t>
      </w:r>
      <w:r>
        <w:t xml:space="preserve"> </w:t>
      </w:r>
      <w:r>
        <w:t xml:space="preserve">Management</w:t>
      </w:r>
      <w:r>
        <w:t xml:space="preserve"> </w:t>
      </w:r>
      <w:r>
        <w:t xml:space="preserve">of</w:t>
      </w:r>
      <w:r>
        <w:t xml:space="preserve"> </w:t>
      </w:r>
      <w:r>
        <w:t xml:space="preserve">Insecticide</w:t>
      </w:r>
      <w:r>
        <w:t xml:space="preserve"> </w:t>
      </w:r>
      <w:r>
        <w:t xml:space="preserve">Resistance</w:t>
      </w:r>
      <w:r>
        <w:t xml:space="preserve"> </w:t>
      </w:r>
      <w:r>
        <w:t xml:space="preserve">in</w:t>
      </w:r>
      <w:r>
        <w:t xml:space="preserve"> </w:t>
      </w:r>
      <w:r>
        <w:t xml:space="preserve">Malaria</w:t>
      </w:r>
      <w:r>
        <w:t xml:space="preserve"> </w:t>
      </w:r>
      <w:r>
        <w:t xml:space="preserve">Vectors</w:t>
      </w:r>
      <w:r>
        <w:t xml:space="preserve">:</w:t>
      </w:r>
      <w:r>
        <w:t xml:space="preserve"> </w:t>
      </w:r>
      <w:r>
        <w:t xml:space="preserve">A</w:t>
      </w:r>
      <w:r>
        <w:t xml:space="preserve"> </w:t>
      </w:r>
      <w:r>
        <w:t xml:space="preserve">Pragmatic</w:t>
      </w:r>
      <w:r>
        <w:t xml:space="preserve"> </w:t>
      </w:r>
      <w:r>
        <w:t xml:space="preserve">Review</w:t>
      </w:r>
      <w:r>
        <w:t xml:space="preserve">.</w:t>
      </w:r>
      <w:r>
        <w:t xml:space="preserve"> </w:t>
      </w:r>
      <w:r>
        <w:rPr>
          <w:iCs/>
          <w:i/>
        </w:rPr>
        <w:t xml:space="preserve">Anopheles Mosquitoes - New Insights into Malaria Vectors</w:t>
      </w:r>
      <w:r>
        <w:t xml:space="preserve">. http://doi.org/</w:t>
      </w:r>
      <w:hyperlink r:id="rId274">
        <w:r>
          <w:rPr>
            <w:rStyle w:val="Hyperlink"/>
          </w:rPr>
          <w:t xml:space="preserve">10.5772/56117</w:t>
        </w:r>
      </w:hyperlink>
    </w:p>
    <w:bookmarkEnd w:id="275"/>
    <w:bookmarkStart w:id="277" w:name="ref-cox_history_2010"/>
    <w:p>
      <w:pPr>
        <w:pStyle w:val="Bibliography"/>
      </w:pPr>
      <w:r>
        <w:t xml:space="preserve">Cox, F. E. (2010). History of the discovery of the malaria parasites and their vectors.</w:t>
      </w:r>
      <w:r>
        <w:t xml:space="preserve"> </w:t>
      </w:r>
      <w:r>
        <w:rPr>
          <w:iCs/>
          <w:i/>
        </w:rPr>
        <w:t xml:space="preserve">Parasites &amp; Vectors</w:t>
      </w:r>
      <w:r>
        <w:t xml:space="preserve">,</w:t>
      </w:r>
      <w:r>
        <w:t xml:space="preserve"> </w:t>
      </w:r>
      <w:r>
        <w:rPr>
          <w:iCs/>
          <w:i/>
        </w:rPr>
        <w:t xml:space="preserve">3</w:t>
      </w:r>
      <w:r>
        <w:t xml:space="preserve">(1), 5. http://doi.org/</w:t>
      </w:r>
      <w:hyperlink r:id="rId276">
        <w:r>
          <w:rPr>
            <w:rStyle w:val="Hyperlink"/>
          </w:rPr>
          <w:t xml:space="preserve">10.1186/1756-3305-3-5</w:t>
        </w:r>
      </w:hyperlink>
    </w:p>
    <w:bookmarkEnd w:id="277"/>
    <w:bookmarkStart w:id="279" w:name="ref-davidson_insecticide_1957"/>
    <w:p>
      <w:pPr>
        <w:pStyle w:val="Bibliography"/>
      </w:pPr>
      <w:r>
        <w:t xml:space="preserve">Davidson, G. (1957). Insecticide</w:t>
      </w:r>
      <w:r>
        <w:t xml:space="preserve"> </w:t>
      </w:r>
      <w:r>
        <w:t xml:space="preserve">Resistance</w:t>
      </w:r>
      <w:r>
        <w:t xml:space="preserve"> </w:t>
      </w:r>
      <w:r>
        <w:t xml:space="preserve">in</w:t>
      </w:r>
      <w:r>
        <w:t xml:space="preserve"> </w:t>
      </w:r>
      <w:r>
        <w:t xml:space="preserve">Anopheles</w:t>
      </w:r>
      <w:r>
        <w:t xml:space="preserve"> </w:t>
      </w:r>
      <w:r>
        <w:t xml:space="preserve">Sundaicus</w:t>
      </w:r>
      <w:r>
        <w:t xml:space="preserve">.</w:t>
      </w:r>
      <w:r>
        <w:t xml:space="preserve"> </w:t>
      </w:r>
      <w:r>
        <w:rPr>
          <w:iCs/>
          <w:i/>
        </w:rPr>
        <w:t xml:space="preserve">Nature</w:t>
      </w:r>
      <w:r>
        <w:t xml:space="preserve">,</w:t>
      </w:r>
      <w:r>
        <w:t xml:space="preserve"> </w:t>
      </w:r>
      <w:r>
        <w:rPr>
          <w:iCs/>
          <w:i/>
        </w:rPr>
        <w:t xml:space="preserve">180</w:t>
      </w:r>
      <w:r>
        <w:t xml:space="preserve">(4598), 1333–1335. http://doi.org/</w:t>
      </w:r>
      <w:hyperlink r:id="rId278">
        <w:r>
          <w:rPr>
            <w:rStyle w:val="Hyperlink"/>
          </w:rPr>
          <w:t xml:space="preserve">10.1038/1801333a0</w:t>
        </w:r>
      </w:hyperlink>
    </w:p>
    <w:bookmarkEnd w:id="279"/>
    <w:bookmarkStart w:id="281" w:name="ref-davies_ddt_2007"/>
    <w:p>
      <w:pPr>
        <w:pStyle w:val="Bibliography"/>
      </w:pPr>
      <w:r>
        <w:t xml:space="preserve">Davies, T. G. E., Field, L. M., Usherwood, P. N. R., &amp; Williamson, M. S. (2007).</w:t>
      </w:r>
      <w:r>
        <w:t xml:space="preserve"> </w:t>
      </w:r>
      <w:r>
        <w:t xml:space="preserve">DDT</w:t>
      </w:r>
      <w:r>
        <w:t xml:space="preserve">, pyrethrins, pyrethroids and insect sodium channels.</w:t>
      </w:r>
      <w:r>
        <w:t xml:space="preserve"> </w:t>
      </w:r>
      <w:r>
        <w:rPr>
          <w:iCs/>
          <w:i/>
        </w:rPr>
        <w:t xml:space="preserve">IUBMB Life</w:t>
      </w:r>
      <w:r>
        <w:t xml:space="preserve">,</w:t>
      </w:r>
      <w:r>
        <w:t xml:space="preserve"> </w:t>
      </w:r>
      <w:r>
        <w:rPr>
          <w:iCs/>
          <w:i/>
        </w:rPr>
        <w:t xml:space="preserve">59</w:t>
      </w:r>
      <w:r>
        <w:t xml:space="preserve">(3), 151–162. http://doi.org/</w:t>
      </w:r>
      <w:hyperlink r:id="rId280">
        <w:r>
          <w:rPr>
            <w:rStyle w:val="Hyperlink"/>
          </w:rPr>
          <w:t xml:space="preserve">10.1080/15216540701352042</w:t>
        </w:r>
      </w:hyperlink>
    </w:p>
    <w:bookmarkEnd w:id="281"/>
    <w:bookmarkStart w:id="283" w:name="ref-djenontin_field_2014"/>
    <w:p>
      <w:pPr>
        <w:pStyle w:val="Bibliography"/>
      </w:pPr>
      <w:r>
        <w:t xml:space="preserve">Djènontin, A., Pennetier, C., Zogo, B., Soukou, K. B., Ole-Sangba, M., Akogbéto, M., … Corbel, V. (2014). Field</w:t>
      </w:r>
      <w:r>
        <w:t xml:space="preserve"> </w:t>
      </w:r>
      <w:r>
        <w:t xml:space="preserve">Efficacy</w:t>
      </w:r>
      <w:r>
        <w:t xml:space="preserve"> </w:t>
      </w:r>
      <w:r>
        <w:t xml:space="preserve">of</w:t>
      </w:r>
      <w:r>
        <w:t xml:space="preserve"> </w:t>
      </w:r>
      <w:r>
        <w:t xml:space="preserve">Vectobac</w:t>
      </w:r>
      <w:r>
        <w:t xml:space="preserve"> </w:t>
      </w:r>
      <w:r>
        <w:t xml:space="preserve">GR</w:t>
      </w:r>
      <w:r>
        <w:t xml:space="preserve"> </w:t>
      </w:r>
      <w:r>
        <w:t xml:space="preserve">as a</w:t>
      </w:r>
      <w:r>
        <w:t xml:space="preserve"> </w:t>
      </w:r>
      <w:r>
        <w:t xml:space="preserve">Mosquito</w:t>
      </w:r>
      <w:r>
        <w:t xml:space="preserve"> </w:t>
      </w:r>
      <w:r>
        <w:t xml:space="preserve">Larvicide</w:t>
      </w:r>
      <w:r>
        <w:t xml:space="preserve"> </w:t>
      </w:r>
      <w:r>
        <w:t xml:space="preserve">for the</w:t>
      </w:r>
      <w:r>
        <w:t xml:space="preserve"> </w:t>
      </w:r>
      <w:r>
        <w:t xml:space="preserve">Control</w:t>
      </w:r>
      <w:r>
        <w:t xml:space="preserve"> </w:t>
      </w:r>
      <w:r>
        <w:t xml:space="preserve">of</w:t>
      </w:r>
      <w:r>
        <w:t xml:space="preserve"> </w:t>
      </w:r>
      <w:r>
        <w:t xml:space="preserve">Anopheline</w:t>
      </w:r>
      <w:r>
        <w:t xml:space="preserve"> </w:t>
      </w:r>
      <w:r>
        <w:t xml:space="preserve">and</w:t>
      </w:r>
      <w:r>
        <w:t xml:space="preserve"> </w:t>
      </w:r>
      <w:r>
        <w:t xml:space="preserve">Culicine</w:t>
      </w:r>
      <w:r>
        <w:t xml:space="preserve"> </w:t>
      </w:r>
      <w:r>
        <w:t xml:space="preserve">Mosquitoes</w:t>
      </w:r>
      <w:r>
        <w:t xml:space="preserve"> </w:t>
      </w:r>
      <w:r>
        <w:t xml:space="preserve">in</w:t>
      </w:r>
      <w:r>
        <w:t xml:space="preserve"> </w:t>
      </w:r>
      <w:r>
        <w:t xml:space="preserve">Natural</w:t>
      </w:r>
      <w:r>
        <w:t xml:space="preserve"> </w:t>
      </w:r>
      <w:r>
        <w:t xml:space="preserve">Habitats</w:t>
      </w:r>
      <w:r>
        <w:t xml:space="preserve"> </w:t>
      </w:r>
      <w:r>
        <w:t xml:space="preserve">in</w:t>
      </w:r>
      <w:r>
        <w:t xml:space="preserve"> </w:t>
      </w:r>
      <w:r>
        <w:t xml:space="preserve">Benin</w:t>
      </w:r>
      <w:r>
        <w:t xml:space="preserve">,</w:t>
      </w:r>
      <w:r>
        <w:t xml:space="preserve"> </w:t>
      </w:r>
      <w:r>
        <w:t xml:space="preserve">West</w:t>
      </w:r>
      <w:r>
        <w:t xml:space="preserve"> </w:t>
      </w:r>
      <w:r>
        <w:t xml:space="preserve">Africa</w:t>
      </w:r>
      <w:r>
        <w:t xml:space="preserve">.</w:t>
      </w:r>
      <w:r>
        <w:t xml:space="preserve"> </w:t>
      </w:r>
      <w:r>
        <w:rPr>
          <w:iCs/>
          <w:i/>
        </w:rPr>
        <w:t xml:space="preserve">PLoS ONE</w:t>
      </w:r>
      <w:r>
        <w:t xml:space="preserve">,</w:t>
      </w:r>
      <w:r>
        <w:t xml:space="preserve"> </w:t>
      </w:r>
      <w:r>
        <w:rPr>
          <w:iCs/>
          <w:i/>
        </w:rPr>
        <w:t xml:space="preserve">9</w:t>
      </w:r>
      <w:r>
        <w:t xml:space="preserve">(2), e87934. http://doi.org/</w:t>
      </w:r>
      <w:hyperlink r:id="rId282">
        <w:r>
          <w:rPr>
            <w:rStyle w:val="Hyperlink"/>
          </w:rPr>
          <w:t xml:space="preserve">10.1371/journal.pone.0087934</w:t>
        </w:r>
      </w:hyperlink>
    </w:p>
    <w:bookmarkEnd w:id="283"/>
    <w:bookmarkStart w:id="285" w:name="ref-manguin_residual_2013"/>
    <w:p>
      <w:pPr>
        <w:pStyle w:val="Bibliography"/>
      </w:pPr>
      <w:r>
        <w:t xml:space="preserve">Durnez, L., &amp; Coosemans, M. (2013). Residual</w:t>
      </w:r>
      <w:r>
        <w:t xml:space="preserve"> </w:t>
      </w:r>
      <w:r>
        <w:t xml:space="preserve">Transmission</w:t>
      </w:r>
      <w:r>
        <w:t xml:space="preserve"> </w:t>
      </w:r>
      <w:r>
        <w:t xml:space="preserve">of</w:t>
      </w:r>
      <w:r>
        <w:t xml:space="preserve"> </w:t>
      </w:r>
      <w:r>
        <w:t xml:space="preserve">Malaria</w:t>
      </w:r>
      <w:r>
        <w:t xml:space="preserve">:</w:t>
      </w:r>
      <w:r>
        <w:t xml:space="preserve"> </w:t>
      </w:r>
      <w:r>
        <w:t xml:space="preserve">An</w:t>
      </w:r>
      <w:r>
        <w:t xml:space="preserve"> </w:t>
      </w:r>
      <w:r>
        <w:t xml:space="preserve">Old</w:t>
      </w:r>
      <w:r>
        <w:t xml:space="preserve"> </w:t>
      </w:r>
      <w:r>
        <w:t xml:space="preserve">Issue</w:t>
      </w:r>
      <w:r>
        <w:t xml:space="preserve"> </w:t>
      </w:r>
      <w:r>
        <w:t xml:space="preserve">for</w:t>
      </w:r>
      <w:r>
        <w:t xml:space="preserve"> </w:t>
      </w:r>
      <w:r>
        <w:t xml:space="preserve">New</w:t>
      </w:r>
      <w:r>
        <w:t xml:space="preserve"> </w:t>
      </w:r>
      <w:r>
        <w:t xml:space="preserve">Approaches</w:t>
      </w:r>
      <w:r>
        <w:t xml:space="preserve">. In S. Manguin (Ed.),</w:t>
      </w:r>
      <w:r>
        <w:t xml:space="preserve"> </w:t>
      </w:r>
      <w:r>
        <w:rPr>
          <w:iCs/>
          <w:i/>
        </w:rPr>
        <w:t xml:space="preserve">Anopheles mosquitoes -</w:t>
      </w:r>
      <w:r>
        <w:rPr>
          <w:iCs/>
          <w:i/>
        </w:rPr>
        <w:t xml:space="preserve"> </w:t>
      </w:r>
      <w:r>
        <w:rPr>
          <w:iCs/>
          <w:i/>
        </w:rPr>
        <w:t xml:space="preserve">New</w:t>
      </w:r>
      <w:r>
        <w:rPr>
          <w:iCs/>
          <w:i/>
        </w:rPr>
        <w:t xml:space="preserve"> </w:t>
      </w:r>
      <w:r>
        <w:rPr>
          <w:iCs/>
          <w:i/>
        </w:rPr>
        <w:t xml:space="preserve">insights into malaria vectors</w:t>
      </w:r>
      <w:r>
        <w:t xml:space="preserve">. InTech. http://doi.org/</w:t>
      </w:r>
      <w:hyperlink r:id="rId284">
        <w:r>
          <w:rPr>
            <w:rStyle w:val="Hyperlink"/>
          </w:rPr>
          <w:t xml:space="preserve">10.5772/55925</w:t>
        </w:r>
      </w:hyperlink>
    </w:p>
    <w:bookmarkEnd w:id="285"/>
    <w:bookmarkStart w:id="287" w:name="ref-ebhuoma_remote_2016"/>
    <w:p>
      <w:pPr>
        <w:pStyle w:val="Bibliography"/>
      </w:pPr>
      <w:r>
        <w:t xml:space="preserve">Ebhuoma, O., &amp; Gebreslasie, M. (2016). Remote</w:t>
      </w:r>
      <w:r>
        <w:t xml:space="preserve"> </w:t>
      </w:r>
      <w:r>
        <w:t xml:space="preserve">Sensing</w:t>
      </w:r>
      <w:r>
        <w:t xml:space="preserve">-</w:t>
      </w:r>
      <w:r>
        <w:t xml:space="preserve">Driven</w:t>
      </w:r>
      <w:r>
        <w:t xml:space="preserve"> </w:t>
      </w:r>
      <w:r>
        <w:t xml:space="preserve">Climatic</w:t>
      </w:r>
      <w:r>
        <w:t xml:space="preserve">/</w:t>
      </w:r>
      <w:r>
        <w:t xml:space="preserve">Environmental</w:t>
      </w:r>
      <w:r>
        <w:t xml:space="preserve"> </w:t>
      </w:r>
      <w:r>
        <w:t xml:space="preserve">Variables</w:t>
      </w:r>
      <w:r>
        <w:t xml:space="preserve"> </w:t>
      </w:r>
      <w:r>
        <w:t xml:space="preserve">for</w:t>
      </w:r>
      <w:r>
        <w:t xml:space="preserve"> </w:t>
      </w:r>
      <w:r>
        <w:t xml:space="preserve">Modelling</w:t>
      </w:r>
      <w:r>
        <w:t xml:space="preserve"> </w:t>
      </w:r>
      <w:r>
        <w:t xml:space="preserve">Malaria</w:t>
      </w:r>
      <w:r>
        <w:t xml:space="preserve"> </w:t>
      </w:r>
      <w:r>
        <w:t xml:space="preserve">Transmission</w:t>
      </w:r>
      <w:r>
        <w:t xml:space="preserve"> </w:t>
      </w:r>
      <w:r>
        <w:t xml:space="preserve">in</w:t>
      </w:r>
      <w:r>
        <w:t xml:space="preserve"> </w:t>
      </w:r>
      <w:r>
        <w:t xml:space="preserve">Sub</w:t>
      </w:r>
      <w:r>
        <w:t xml:space="preserve">-</w:t>
      </w:r>
      <w:r>
        <w:t xml:space="preserve">Saharan</w:t>
      </w:r>
      <w:r>
        <w:t xml:space="preserve"> </w:t>
      </w:r>
      <w:r>
        <w:t xml:space="preserve">Africa</w:t>
      </w:r>
      <w:r>
        <w:t xml:space="preserve">.</w:t>
      </w:r>
      <w:r>
        <w:t xml:space="preserve"> </w:t>
      </w:r>
      <w:r>
        <w:rPr>
          <w:iCs/>
          <w:i/>
        </w:rPr>
        <w:t xml:space="preserve">International Journal of Environmental Research and Public Health</w:t>
      </w:r>
      <w:r>
        <w:t xml:space="preserve">,</w:t>
      </w:r>
      <w:r>
        <w:t xml:space="preserve"> </w:t>
      </w:r>
      <w:r>
        <w:rPr>
          <w:iCs/>
          <w:i/>
        </w:rPr>
        <w:t xml:space="preserve">13</w:t>
      </w:r>
      <w:r>
        <w:t xml:space="preserve">(6). http://doi.org/</w:t>
      </w:r>
      <w:hyperlink r:id="rId286">
        <w:r>
          <w:rPr>
            <w:rStyle w:val="Hyperlink"/>
          </w:rPr>
          <w:t xml:space="preserve">10.3390/ijerph13060584</w:t>
        </w:r>
      </w:hyperlink>
    </w:p>
    <w:bookmarkEnd w:id="287"/>
    <w:bookmarkStart w:id="288" w:name="ref-fayyad_data_nodate"/>
    <w:p>
      <w:pPr>
        <w:pStyle w:val="Bibliography"/>
      </w:pPr>
      <w:r>
        <w:t xml:space="preserve">Fayyad, U., Piatetsky-Shapiro, G., &amp; Smyth, P. (1996). From</w:t>
      </w:r>
      <w:r>
        <w:t xml:space="preserve"> </w:t>
      </w:r>
      <w:r>
        <w:t xml:space="preserve">Data</w:t>
      </w:r>
      <w:r>
        <w:t xml:space="preserve"> </w:t>
      </w:r>
      <w:r>
        <w:t xml:space="preserve">Mining</w:t>
      </w:r>
      <w:r>
        <w:t xml:space="preserve"> </w:t>
      </w:r>
      <w:r>
        <w:t xml:space="preserve">to</w:t>
      </w:r>
      <w:r>
        <w:t xml:space="preserve"> </w:t>
      </w:r>
      <w:r>
        <w:t xml:space="preserve">Knowledge</w:t>
      </w:r>
      <w:r>
        <w:t xml:space="preserve"> </w:t>
      </w:r>
      <w:r>
        <w:t xml:space="preserve">Discovery</w:t>
      </w:r>
      <w:r>
        <w:t xml:space="preserve"> </w:t>
      </w:r>
      <w:r>
        <w:t xml:space="preserve">in</w:t>
      </w:r>
      <w:r>
        <w:t xml:space="preserve"> </w:t>
      </w:r>
      <w:r>
        <w:t xml:space="preserve">Databases</w:t>
      </w:r>
      <w:r>
        <w:t xml:space="preserve">, 18.</w:t>
      </w:r>
    </w:p>
    <w:bookmarkEnd w:id="288"/>
    <w:bookmarkStart w:id="289" w:name="ref-fontenille_2019"/>
    <w:p>
      <w:pPr>
        <w:pStyle w:val="Bibliography"/>
      </w:pPr>
      <w:r>
        <w:t xml:space="preserve">Fontenille, D. (2009). Qu’est ce qu’un insecte vecteur de maladies ? Quel risque entomologique dans la région ?</w:t>
      </w:r>
      <w:r>
        <w:t xml:space="preserve"> </w:t>
      </w:r>
      <w:r>
        <w:rPr>
          <w:iCs/>
          <w:i/>
        </w:rPr>
        <w:t xml:space="preserve">Actes Du Colloque Maladies Vectorielles Et Moustiques Vecteurs : Actualités Et Prévention Sur Le Littoral Méditerranéen. Journée d’information, CRDP, Allée de La Citadelle, Montpellier Centre.</w:t>
      </w:r>
    </w:p>
    <w:bookmarkEnd w:id="289"/>
    <w:bookmarkStart w:id="291" w:name="ref-friedman_greedy_2001"/>
    <w:p>
      <w:pPr>
        <w:pStyle w:val="Bibliography"/>
      </w:pPr>
      <w:r>
        <w:t xml:space="preserve">Friedman, J. H. (2001). Greedy function approximation:</w:t>
      </w:r>
      <w:r>
        <w:t xml:space="preserve"> </w:t>
      </w:r>
      <w:r>
        <w:t xml:space="preserve">A</w:t>
      </w:r>
      <w:r>
        <w:t xml:space="preserve"> </w:t>
      </w:r>
      <w:r>
        <w:t xml:space="preserve">gradient boosting machine.</w:t>
      </w:r>
      <w:r>
        <w:t xml:space="preserve"> </w:t>
      </w:r>
      <w:r>
        <w:rPr>
          <w:iCs/>
          <w:i/>
        </w:rPr>
        <w:t xml:space="preserve">Annals of Statistics</w:t>
      </w:r>
      <w:r>
        <w:t xml:space="preserve">,</w:t>
      </w:r>
      <w:r>
        <w:t xml:space="preserve"> </w:t>
      </w:r>
      <w:r>
        <w:rPr>
          <w:iCs/>
          <w:i/>
        </w:rPr>
        <w:t xml:space="preserve">29</w:t>
      </w:r>
      <w:r>
        <w:t xml:space="preserve">(5), 1189–1232. http://doi.org/</w:t>
      </w:r>
      <w:hyperlink r:id="rId290">
        <w:r>
          <w:rPr>
            <w:rStyle w:val="Hyperlink"/>
          </w:rPr>
          <w:t xml:space="preserve">10.1214/aos/1013203451</w:t>
        </w:r>
      </w:hyperlink>
    </w:p>
    <w:bookmarkEnd w:id="291"/>
    <w:bookmarkStart w:id="292" w:name="ref-Garrett-Jones_1964"/>
    <w:p>
      <w:pPr>
        <w:pStyle w:val="Bibliography"/>
      </w:pPr>
      <w:r>
        <w:t xml:space="preserve">Garrett-Jones, C., &amp; Organization, W. H. (1964). A method for estimating the man-biting rate / by c. Garrett-jones. World Health Organization.</w:t>
      </w:r>
    </w:p>
    <w:bookmarkEnd w:id="292"/>
    <w:bookmarkStart w:id="294" w:name="ref-gatton_importance_2013"/>
    <w:p>
      <w:pPr>
        <w:pStyle w:val="Bibliography"/>
      </w:pPr>
      <w:r>
        <w:t xml:space="preserve">Gatton, M. L., Chitnis, N., Churcher, T., Donnelly, M. J., Ghani, A. C., Godfray, H. C. J., … Lindsay, S. W. (2013).</w:t>
      </w:r>
      <w:r>
        <w:t xml:space="preserve"> </w:t>
      </w:r>
      <w:r>
        <w:t xml:space="preserve">THE</w:t>
      </w:r>
      <w:r>
        <w:t xml:space="preserve"> </w:t>
      </w:r>
      <w:r>
        <w:t xml:space="preserve">IMPORTANCE</w:t>
      </w:r>
      <w:r>
        <w:t xml:space="preserve"> </w:t>
      </w:r>
      <w:r>
        <w:t xml:space="preserve">OF</w:t>
      </w:r>
      <w:r>
        <w:t xml:space="preserve"> </w:t>
      </w:r>
      <w:r>
        <w:t xml:space="preserve">MOSQUITO</w:t>
      </w:r>
      <w:r>
        <w:t xml:space="preserve"> </w:t>
      </w:r>
      <w:r>
        <w:t xml:space="preserve">BEHAVIOURAL</w:t>
      </w:r>
      <w:r>
        <w:t xml:space="preserve"> </w:t>
      </w:r>
      <w:r>
        <w:t xml:space="preserve">ADAPTATIONS</w:t>
      </w:r>
      <w:r>
        <w:t xml:space="preserve"> </w:t>
      </w:r>
      <w:r>
        <w:t xml:space="preserve">TO</w:t>
      </w:r>
      <w:r>
        <w:t xml:space="preserve"> </w:t>
      </w:r>
      <w:r>
        <w:t xml:space="preserve">MALARIA</w:t>
      </w:r>
      <w:r>
        <w:t xml:space="preserve"> </w:t>
      </w:r>
      <w:r>
        <w:t xml:space="preserve">CONTROL</w:t>
      </w:r>
      <w:r>
        <w:t xml:space="preserve"> </w:t>
      </w:r>
      <w:r>
        <w:t xml:space="preserve">IN</w:t>
      </w:r>
      <w:r>
        <w:t xml:space="preserve"> </w:t>
      </w:r>
      <w:r>
        <w:t xml:space="preserve">AFRICA</w:t>
      </w:r>
      <w:r>
        <w:t xml:space="preserve">.</w:t>
      </w:r>
      <w:r>
        <w:t xml:space="preserve"> </w:t>
      </w:r>
      <w:r>
        <w:rPr>
          <w:iCs/>
          <w:i/>
        </w:rPr>
        <w:t xml:space="preserve">Evolution</w:t>
      </w:r>
      <w:r>
        <w:t xml:space="preserve">,</w:t>
      </w:r>
      <w:r>
        <w:t xml:space="preserve"> </w:t>
      </w:r>
      <w:r>
        <w:rPr>
          <w:iCs/>
          <w:i/>
        </w:rPr>
        <w:t xml:space="preserve">67</w:t>
      </w:r>
      <w:r>
        <w:t xml:space="preserve">(4), 1218–1230. http://doi.org/</w:t>
      </w:r>
      <w:hyperlink r:id="rId293">
        <w:r>
          <w:rPr>
            <w:rStyle w:val="Hyperlink"/>
          </w:rPr>
          <w:t xml:space="preserve">10.1111/evo.12063</w:t>
        </w:r>
      </w:hyperlink>
    </w:p>
    <w:bookmarkEnd w:id="294"/>
    <w:bookmarkStart w:id="296" w:name="ref-geissbuhler_interdependence_2007"/>
    <w:p>
      <w:pPr>
        <w:pStyle w:val="Bibliography"/>
      </w:pPr>
      <w:r>
        <w:t xml:space="preserve">Geissbühler, Y., Chaki, P., Emidi, B., Govella, N. J., Shirima, R., Mayagaya, V., … Killeen, G. F. (2007). Interdependence of domestic malaria prevention measures and mosquito-human interactions in urban</w:t>
      </w:r>
      <w:r>
        <w:t xml:space="preserve"> </w:t>
      </w:r>
      <w:r>
        <w:t xml:space="preserve">Dar</w:t>
      </w:r>
      <w:r>
        <w:t xml:space="preserve"> </w:t>
      </w:r>
      <w:r>
        <w:t xml:space="preserve">es</w:t>
      </w:r>
      <w:r>
        <w:t xml:space="preserve"> </w:t>
      </w:r>
      <w:r>
        <w:t xml:space="preserve">Salaam</w:t>
      </w:r>
      <w:r>
        <w:t xml:space="preserve">,</w:t>
      </w:r>
      <w:r>
        <w:t xml:space="preserve"> </w:t>
      </w:r>
      <w:r>
        <w:t xml:space="preserve">Tanzania</w:t>
      </w:r>
      <w:r>
        <w:t xml:space="preserve">.</w:t>
      </w:r>
      <w:r>
        <w:t xml:space="preserve"> </w:t>
      </w:r>
      <w:r>
        <w:rPr>
          <w:iCs/>
          <w:i/>
        </w:rPr>
        <w:t xml:space="preserve">Malaria Journal</w:t>
      </w:r>
      <w:r>
        <w:t xml:space="preserve">,</w:t>
      </w:r>
      <w:r>
        <w:t xml:space="preserve"> </w:t>
      </w:r>
      <w:r>
        <w:rPr>
          <w:iCs/>
          <w:i/>
        </w:rPr>
        <w:t xml:space="preserve">6</w:t>
      </w:r>
      <w:r>
        <w:t xml:space="preserve">(1), 126. http://doi.org/</w:t>
      </w:r>
      <w:hyperlink r:id="rId295">
        <w:r>
          <w:rPr>
            <w:rStyle w:val="Hyperlink"/>
          </w:rPr>
          <w:t xml:space="preserve">10.1186/1475-2875-6-126</w:t>
        </w:r>
      </w:hyperlink>
    </w:p>
    <w:bookmarkEnd w:id="296"/>
    <w:bookmarkStart w:id="298" w:name="ref-gillies_duration_1953"/>
    <w:p>
      <w:pPr>
        <w:pStyle w:val="Bibliography"/>
      </w:pPr>
      <w:r>
        <w:t xml:space="preserve">Gillies, M. T. (1953).</w:t>
      </w:r>
      <w:r>
        <w:t xml:space="preserve"> </w:t>
      </w:r>
      <w:hyperlink r:id="rId297">
        <w:r>
          <w:rPr>
            <w:rStyle w:val="Hyperlink"/>
          </w:rPr>
          <w:t xml:space="preserve">The duration of the gonotrophic cycle in</w:t>
        </w:r>
        <w:r>
          <w:rPr>
            <w:rStyle w:val="Hyperlink"/>
          </w:rPr>
          <w:t xml:space="preserve"> </w:t>
        </w:r>
        <w:r>
          <w:rPr>
            <w:rStyle w:val="Hyperlink"/>
          </w:rPr>
          <w:t xml:space="preserve">Anopheles</w:t>
        </w:r>
        <w:r>
          <w:rPr>
            <w:rStyle w:val="Hyperlink"/>
          </w:rPr>
          <w:t xml:space="preserve"> </w:t>
        </w:r>
        <w:r>
          <w:rPr>
            <w:rStyle w:val="Hyperlink"/>
          </w:rPr>
          <w:t xml:space="preserve">gambiae and</w:t>
        </w:r>
        <w:r>
          <w:rPr>
            <w:rStyle w:val="Hyperlink"/>
          </w:rPr>
          <w:t xml:space="preserve"> </w:t>
        </w:r>
        <w:r>
          <w:rPr>
            <w:rStyle w:val="Hyperlink"/>
          </w:rPr>
          <w:t xml:space="preserve">Anopheles</w:t>
        </w:r>
        <w:r>
          <w:rPr>
            <w:rStyle w:val="Hyperlink"/>
          </w:rPr>
          <w:t xml:space="preserve"> </w:t>
        </w:r>
        <w:r>
          <w:rPr>
            <w:rStyle w:val="Hyperlink"/>
          </w:rPr>
          <w:t xml:space="preserve">funestus, with a note on the efficiency of hand catching.</w:t>
        </w:r>
      </w:hyperlink>
      <w:r>
        <w:t xml:space="preserve"> </w:t>
      </w:r>
      <w:r>
        <w:rPr>
          <w:iCs/>
          <w:i/>
        </w:rPr>
        <w:t xml:space="preserve">East African Medical Journal</w:t>
      </w:r>
      <w:r>
        <w:t xml:space="preserve">,</w:t>
      </w:r>
      <w:r>
        <w:t xml:space="preserve"> </w:t>
      </w:r>
      <w:r>
        <w:rPr>
          <w:iCs/>
          <w:i/>
        </w:rPr>
        <w:t xml:space="preserve">30</w:t>
      </w:r>
      <w:r>
        <w:t xml:space="preserve">(4), 129–135.</w:t>
      </w:r>
    </w:p>
    <w:bookmarkEnd w:id="298"/>
    <w:bookmarkStart w:id="299" w:name="ref-gillies_anophelinae_1968"/>
    <w:p>
      <w:pPr>
        <w:pStyle w:val="Bibliography"/>
      </w:pPr>
      <w:r>
        <w:t xml:space="preserve">Gillies, M. T., &amp; B. De Meillon. (1968). The</w:t>
      </w:r>
      <w:r>
        <w:t xml:space="preserve"> </w:t>
      </w:r>
      <w:r>
        <w:t xml:space="preserve">Anophelinae</w:t>
      </w:r>
      <w:r>
        <w:t xml:space="preserve"> </w:t>
      </w:r>
      <w:r>
        <w:t xml:space="preserve">of</w:t>
      </w:r>
      <w:r>
        <w:t xml:space="preserve"> </w:t>
      </w:r>
      <w:r>
        <w:t xml:space="preserve">Africa</w:t>
      </w:r>
      <w:r>
        <w:t xml:space="preserve"> </w:t>
      </w:r>
      <w:r>
        <w:t xml:space="preserve">south of the</w:t>
      </w:r>
      <w:r>
        <w:t xml:space="preserve"> </w:t>
      </w:r>
      <w:r>
        <w:t xml:space="preserve">Sahara</w:t>
      </w:r>
      <w:r>
        <w:t xml:space="preserve"> </w:t>
      </w:r>
      <w:r>
        <w:t xml:space="preserve">(</w:t>
      </w:r>
      <w:r>
        <w:t xml:space="preserve">Ethiopian</w:t>
      </w:r>
      <w:r>
        <w:t xml:space="preserve"> </w:t>
      </w:r>
      <w:r>
        <w:t xml:space="preserve">Zoogeographical</w:t>
      </w:r>
      <w:r>
        <w:t xml:space="preserve"> </w:t>
      </w:r>
      <w:r>
        <w:t xml:space="preserve">Region</w:t>
      </w:r>
      <w:r>
        <w:t xml:space="preserve">).</w:t>
      </w:r>
      <w:r>
        <w:t xml:space="preserve"> </w:t>
      </w:r>
      <w:r>
        <w:rPr>
          <w:iCs/>
          <w:i/>
        </w:rPr>
        <w:t xml:space="preserve">Publications of the South African Institute for Medical Research</w:t>
      </w:r>
      <w:r>
        <w:t xml:space="preserve">,</w:t>
      </w:r>
      <w:r>
        <w:t xml:space="preserve"> </w:t>
      </w:r>
      <w:r>
        <w:rPr>
          <w:iCs/>
          <w:i/>
        </w:rPr>
        <w:t xml:space="preserve">54</w:t>
      </w:r>
      <w:r>
        <w:t xml:space="preserve">.</w:t>
      </w:r>
    </w:p>
    <w:bookmarkEnd w:id="299"/>
    <w:bookmarkStart w:id="300" w:name="ref-gillies_supplement_1987"/>
    <w:p>
      <w:pPr>
        <w:pStyle w:val="Bibliography"/>
      </w:pPr>
      <w:r>
        <w:t xml:space="preserve">Gillies, M. T., &amp; Coetzee, M. (1987). A supplement to the</w:t>
      </w:r>
      <w:r>
        <w:t xml:space="preserve"> </w:t>
      </w:r>
      <w:r>
        <w:t xml:space="preserve">Anophelinae</w:t>
      </w:r>
      <w:r>
        <w:t xml:space="preserve"> </w:t>
      </w:r>
      <w:r>
        <w:t xml:space="preserve">of</w:t>
      </w:r>
      <w:r>
        <w:t xml:space="preserve"> </w:t>
      </w:r>
      <w:r>
        <w:t xml:space="preserve">Africa</w:t>
      </w:r>
      <w:r>
        <w:t xml:space="preserve"> </w:t>
      </w:r>
      <w:r>
        <w:t xml:space="preserve">South</w:t>
      </w:r>
      <w:r>
        <w:t xml:space="preserve"> </w:t>
      </w:r>
      <w:r>
        <w:t xml:space="preserve">of the</w:t>
      </w:r>
      <w:r>
        <w:t xml:space="preserve"> </w:t>
      </w:r>
      <w:r>
        <w:t xml:space="preserve">Sahara</w:t>
      </w:r>
      <w:r>
        <w:t xml:space="preserve">.</w:t>
      </w:r>
      <w:r>
        <w:t xml:space="preserve"> </w:t>
      </w:r>
      <w:r>
        <w:rPr>
          <w:iCs/>
          <w:i/>
        </w:rPr>
        <w:t xml:space="preserve">Publ S Afr Inst Med Res</w:t>
      </w:r>
      <w:r>
        <w:t xml:space="preserve">,</w:t>
      </w:r>
      <w:r>
        <w:t xml:space="preserve"> </w:t>
      </w:r>
      <w:r>
        <w:rPr>
          <w:iCs/>
          <w:i/>
        </w:rPr>
        <w:t xml:space="preserve">55</w:t>
      </w:r>
      <w:r>
        <w:t xml:space="preserve">, 1–143.</w:t>
      </w:r>
    </w:p>
    <w:bookmarkEnd w:id="300"/>
    <w:bookmarkStart w:id="302" w:name="ref-govella_heritability_2021"/>
    <w:p>
      <w:pPr>
        <w:pStyle w:val="Bibliography"/>
      </w:pPr>
      <w:r>
        <w:t xml:space="preserve">Govella, N. J., Johnson, P. C. D., Killeen, G. F., &amp; Ferguson, H. M. (2021).</w:t>
      </w:r>
      <w:r>
        <w:t xml:space="preserve"> </w:t>
      </w:r>
      <w:r>
        <w:rPr>
          <w:iCs/>
          <w:i/>
        </w:rPr>
        <w:t xml:space="preserve">Heritability and phenotypic plasticity of biting time behaviors in the major</w:t>
      </w:r>
      <w:r>
        <w:rPr>
          <w:iCs/>
          <w:i/>
        </w:rPr>
        <w:t xml:space="preserve"> </w:t>
      </w:r>
      <w:r>
        <w:rPr>
          <w:iCs/>
          <w:i/>
        </w:rPr>
        <w:t xml:space="preserve">African</w:t>
      </w:r>
      <w:r>
        <w:rPr>
          <w:iCs/>
          <w:i/>
        </w:rPr>
        <w:t xml:space="preserve"> </w:t>
      </w:r>
      <w:r>
        <w:rPr>
          <w:iCs/>
          <w:i/>
        </w:rPr>
        <w:t xml:space="preserve">malaria vector</w:t>
      </w:r>
      <w:r>
        <w:rPr>
          <w:iCs/>
          <w:i/>
        </w:rPr>
        <w:t xml:space="preserve"> </w:t>
      </w:r>
      <w:r>
        <w:rPr>
          <w:iCs/>
          <w:i/>
          <w:iCs/>
          <w:i/>
        </w:rPr>
        <w:t xml:space="preserve">Anopheles</w:t>
      </w:r>
      <w:r>
        <w:rPr>
          <w:iCs/>
          <w:i/>
          <w:iCs/>
          <w:i/>
        </w:rPr>
        <w:t xml:space="preserve"> </w:t>
      </w:r>
      <w:r>
        <w:rPr>
          <w:iCs/>
          <w:i/>
          <w:iCs/>
          <w:i/>
        </w:rPr>
        <w:t xml:space="preserve">arabiensis</w:t>
      </w:r>
      <w:r>
        <w:t xml:space="preserve"> </w:t>
      </w:r>
      <w:r>
        <w:t xml:space="preserve">(preprint). Evolutionary Biology. Retrieved from</w:t>
      </w:r>
      <w:r>
        <w:t xml:space="preserve"> </w:t>
      </w:r>
      <w:hyperlink r:id="rId301">
        <w:r>
          <w:rPr>
            <w:rStyle w:val="Hyperlink"/>
          </w:rPr>
          <w:t xml:space="preserve">http://biorxiv.org/lookup/doi/10.1101/2021.05.17.444456</w:t>
        </w:r>
      </w:hyperlink>
    </w:p>
    <w:bookmarkEnd w:id="302"/>
    <w:bookmarkStart w:id="304" w:name="ref-GRASS_GIS_software"/>
    <w:p>
      <w:pPr>
        <w:pStyle w:val="Bibliography"/>
      </w:pPr>
      <w:r>
        <w:t xml:space="preserve">GRASS Development Team. (2017).</w:t>
      </w:r>
      <w:r>
        <w:t xml:space="preserve"> </w:t>
      </w:r>
      <w:r>
        <w:rPr>
          <w:iCs/>
          <w:i/>
        </w:rPr>
        <w:t xml:space="preserve">Geographic resources analysis support system (GRASS GIS) software, version 7.2</w:t>
      </w:r>
      <w:r>
        <w:t xml:space="preserve">. Open Source Geospatial Foundation. Retrieved from</w:t>
      </w:r>
      <w:r>
        <w:t xml:space="preserve"> </w:t>
      </w:r>
      <w:hyperlink r:id="rId303">
        <w:r>
          <w:rPr>
            <w:rStyle w:val="Hyperlink"/>
          </w:rPr>
          <w:t xml:space="preserve">http://grass.osgeo.org</w:t>
        </w:r>
      </w:hyperlink>
    </w:p>
    <w:bookmarkEnd w:id="304"/>
    <w:bookmarkStart w:id="305" w:name="ref-grizonnet2017orfeo"/>
    <w:p>
      <w:pPr>
        <w:pStyle w:val="Bibliography"/>
      </w:pPr>
      <w:r>
        <w:t xml:space="preserve">Grizonnet, M., Michel, J., Poughon, V., Inglada, J., Savinaud, M., &amp; Cresson, R. (2017). Orfeo ToolBox: Open source processing of remote sensing images.</w:t>
      </w:r>
      <w:r>
        <w:t xml:space="preserve"> </w:t>
      </w:r>
      <w:r>
        <w:rPr>
          <w:iCs/>
          <w:i/>
        </w:rPr>
        <w:t xml:space="preserve">Open Geospatial Data, Software and Standards</w:t>
      </w:r>
      <w:r>
        <w:t xml:space="preserve">,</w:t>
      </w:r>
      <w:r>
        <w:t xml:space="preserve"> </w:t>
      </w:r>
      <w:r>
        <w:rPr>
          <w:iCs/>
          <w:i/>
        </w:rPr>
        <w:t xml:space="preserve">2</w:t>
      </w:r>
      <w:r>
        <w:t xml:space="preserve">(1), 15.</w:t>
      </w:r>
    </w:p>
    <w:bookmarkEnd w:id="305"/>
    <w:bookmarkStart w:id="307" w:name="ref-hawley_community-wide_2003"/>
    <w:p>
      <w:pPr>
        <w:pStyle w:val="Bibliography"/>
      </w:pPr>
      <w:r>
        <w:t xml:space="preserve">Hawley, W. A., Phillips-Howard, P. A., Kuile, F. O. ter, Terlouw, D. J., Vulule, J. M., Ombok, M., … Hightower, A. W. (2003).</w:t>
      </w:r>
      <w:r>
        <w:t xml:space="preserve"> </w:t>
      </w:r>
      <w:hyperlink r:id="rId306">
        <w:r>
          <w:rPr>
            <w:rStyle w:val="Hyperlink"/>
          </w:rPr>
          <w:t xml:space="preserve">Community-wide effects of permethrin-treated bed nets on child mortality and malaria morbidity in western</w:t>
        </w:r>
        <w:r>
          <w:rPr>
            <w:rStyle w:val="Hyperlink"/>
          </w:rPr>
          <w:t xml:space="preserve"> </w:t>
        </w:r>
        <w:r>
          <w:rPr>
            <w:rStyle w:val="Hyperlink"/>
          </w:rPr>
          <w:t xml:space="preserve">Kenya</w:t>
        </w:r>
        <w:r>
          <w:rPr>
            <w:rStyle w:val="Hyperlink"/>
          </w:rPr>
          <w:t xml:space="preserve">.</w:t>
        </w:r>
      </w:hyperlink>
      <w:r>
        <w:t xml:space="preserve"> </w:t>
      </w:r>
      <w:r>
        <w:rPr>
          <w:iCs/>
          <w:i/>
        </w:rPr>
        <w:t xml:space="preserve">The American Journal of Tropical Medicine and Hygiene</w:t>
      </w:r>
      <w:r>
        <w:t xml:space="preserve">,</w:t>
      </w:r>
      <w:r>
        <w:t xml:space="preserve"> </w:t>
      </w:r>
      <w:r>
        <w:rPr>
          <w:iCs/>
          <w:i/>
        </w:rPr>
        <w:t xml:space="preserve">68</w:t>
      </w:r>
      <w:r>
        <w:t xml:space="preserve">(4 Suppl), 121–127.</w:t>
      </w:r>
    </w:p>
    <w:bookmarkEnd w:id="307"/>
    <w:bookmarkStart w:id="309" w:name="ref-blaschke_geographic_2008"/>
    <w:p>
      <w:pPr>
        <w:pStyle w:val="Bibliography"/>
      </w:pPr>
      <w:r>
        <w:t xml:space="preserve">Hay, G. J., &amp; Castilla, G. (2008). Geographic</w:t>
      </w:r>
      <w:r>
        <w:t xml:space="preserve"> </w:t>
      </w:r>
      <w:r>
        <w:t xml:space="preserve">Object</w:t>
      </w:r>
      <w:r>
        <w:t xml:space="preserve">-</w:t>
      </w:r>
      <w:r>
        <w:t xml:space="preserve">Based</w:t>
      </w:r>
      <w:r>
        <w:t xml:space="preserve"> </w:t>
      </w:r>
      <w:r>
        <w:t xml:space="preserve">Image</w:t>
      </w:r>
      <w:r>
        <w:t xml:space="preserve"> </w:t>
      </w:r>
      <w:r>
        <w:t xml:space="preserve">Analysis</w:t>
      </w:r>
      <w:r>
        <w:t xml:space="preserve"> </w:t>
      </w:r>
      <w:r>
        <w:t xml:space="preserve">(</w:t>
      </w:r>
      <w:r>
        <w:t xml:space="preserve">GEOBIA</w:t>
      </w:r>
      <w:r>
        <w:t xml:space="preserve">):</w:t>
      </w:r>
      <w:r>
        <w:t xml:space="preserve"> </w:t>
      </w:r>
      <w:r>
        <w:t xml:space="preserve">A</w:t>
      </w:r>
      <w:r>
        <w:t xml:space="preserve"> </w:t>
      </w:r>
      <w:r>
        <w:t xml:space="preserve">new name for a new discipline. In T. Blaschke, S. Lang, &amp; G. J. Hay (Eds.),</w:t>
      </w:r>
      <w:r>
        <w:t xml:space="preserve"> </w:t>
      </w:r>
      <w:r>
        <w:rPr>
          <w:iCs/>
          <w:i/>
        </w:rPr>
        <w:t xml:space="preserve">Object-</w:t>
      </w:r>
      <w:r>
        <w:rPr>
          <w:iCs/>
          <w:i/>
        </w:rPr>
        <w:t xml:space="preserve">Based</w:t>
      </w:r>
      <w:r>
        <w:rPr>
          <w:iCs/>
          <w:i/>
        </w:rPr>
        <w:t xml:space="preserve"> </w:t>
      </w:r>
      <w:r>
        <w:rPr>
          <w:iCs/>
          <w:i/>
        </w:rPr>
        <w:t xml:space="preserve">Image</w:t>
      </w:r>
      <w:r>
        <w:rPr>
          <w:iCs/>
          <w:i/>
        </w:rPr>
        <w:t xml:space="preserve"> </w:t>
      </w:r>
      <w:r>
        <w:rPr>
          <w:iCs/>
          <w:i/>
        </w:rPr>
        <w:t xml:space="preserve">Analysis</w:t>
      </w:r>
      <w:r>
        <w:t xml:space="preserve"> </w:t>
      </w:r>
      <w:r>
        <w:t xml:space="preserve">(pp. 75–89). Berlin, Heidelberg: Springer Berlin Heidelberg. http://doi.org/</w:t>
      </w:r>
      <w:hyperlink r:id="rId308">
        <w:r>
          <w:rPr>
            <w:rStyle w:val="Hyperlink"/>
          </w:rPr>
          <w:t xml:space="preserve">10.1007/978-3-540-77058-9_4</w:t>
        </w:r>
      </w:hyperlink>
    </w:p>
    <w:bookmarkEnd w:id="309"/>
    <w:bookmarkStart w:id="311" w:name="ref-hijmans_raster_2020"/>
    <w:p>
      <w:pPr>
        <w:pStyle w:val="Bibliography"/>
      </w:pPr>
      <w:r>
        <w:t xml:space="preserve">Hijmans, R. J. (2020).</w:t>
      </w:r>
      <w:r>
        <w:t xml:space="preserve"> </w:t>
      </w:r>
      <w:r>
        <w:rPr>
          <w:iCs/>
          <w:i/>
        </w:rPr>
        <w:t xml:space="preserve">Raster:</w:t>
      </w:r>
      <w:r>
        <w:rPr>
          <w:iCs/>
          <w:i/>
        </w:rPr>
        <w:t xml:space="preserve"> </w:t>
      </w:r>
      <w:r>
        <w:rPr>
          <w:iCs/>
          <w:i/>
        </w:rPr>
        <w:t xml:space="preserve">Geographic</w:t>
      </w:r>
      <w:r>
        <w:rPr>
          <w:iCs/>
          <w:i/>
        </w:rPr>
        <w:t xml:space="preserve"> </w:t>
      </w:r>
      <w:r>
        <w:rPr>
          <w:iCs/>
          <w:i/>
        </w:rPr>
        <w:t xml:space="preserve">Data</w:t>
      </w:r>
      <w:r>
        <w:rPr>
          <w:iCs/>
          <w:i/>
        </w:rPr>
        <w:t xml:space="preserve"> </w:t>
      </w:r>
      <w:r>
        <w:rPr>
          <w:iCs/>
          <w:i/>
        </w:rPr>
        <w:t xml:space="preserve">Analysis</w:t>
      </w:r>
      <w:r>
        <w:rPr>
          <w:iCs/>
          <w:i/>
        </w:rPr>
        <w:t xml:space="preserve"> </w:t>
      </w:r>
      <w:r>
        <w:rPr>
          <w:iCs/>
          <w:i/>
        </w:rPr>
        <w:t xml:space="preserve">and</w:t>
      </w:r>
      <w:r>
        <w:rPr>
          <w:iCs/>
          <w:i/>
        </w:rPr>
        <w:t xml:space="preserve"> </w:t>
      </w:r>
      <w:r>
        <w:rPr>
          <w:iCs/>
          <w:i/>
        </w:rPr>
        <w:t xml:space="preserve">Modeling</w:t>
      </w:r>
      <w:r>
        <w:t xml:space="preserve">. Retrieved from</w:t>
      </w:r>
      <w:r>
        <w:t xml:space="preserve"> </w:t>
      </w:r>
      <w:hyperlink r:id="rId310">
        <w:r>
          <w:rPr>
            <w:rStyle w:val="Hyperlink"/>
          </w:rPr>
          <w:t xml:space="preserve">https://CRAN.R-project.org/package=raster</w:t>
        </w:r>
      </w:hyperlink>
    </w:p>
    <w:bookmarkEnd w:id="311"/>
    <w:bookmarkStart w:id="313" w:name="ref-holstein_biologie_1952"/>
    <w:p>
      <w:pPr>
        <w:pStyle w:val="Bibliography"/>
      </w:pPr>
      <w:r>
        <w:t xml:space="preserve">Holstein, M. (1952).</w:t>
      </w:r>
      <w:r>
        <w:t xml:space="preserve"> </w:t>
      </w:r>
      <w:r>
        <w:rPr>
          <w:iCs/>
          <w:i/>
        </w:rPr>
        <w:t xml:space="preserve">Biologie d’</w:t>
      </w:r>
      <w:r>
        <w:rPr>
          <w:iCs/>
          <w:i/>
        </w:rPr>
        <w:t xml:space="preserve">Anopheles</w:t>
      </w:r>
      <w:r>
        <w:rPr>
          <w:iCs/>
          <w:i/>
        </w:rPr>
        <w:t xml:space="preserve"> </w:t>
      </w:r>
      <w:r>
        <w:rPr>
          <w:iCs/>
          <w:i/>
        </w:rPr>
        <w:t xml:space="preserve">gambiae : Recherches en</w:t>
      </w:r>
      <w:r>
        <w:rPr>
          <w:iCs/>
          <w:i/>
        </w:rPr>
        <w:t xml:space="preserve"> </w:t>
      </w:r>
      <w:r>
        <w:rPr>
          <w:iCs/>
          <w:i/>
        </w:rPr>
        <w:t xml:space="preserve">Afrique</w:t>
      </w:r>
      <w:r>
        <w:rPr>
          <w:iCs/>
          <w:i/>
        </w:rPr>
        <w:t xml:space="preserve">-</w:t>
      </w:r>
      <w:r>
        <w:rPr>
          <w:iCs/>
          <w:i/>
        </w:rPr>
        <w:t xml:space="preserve">Occidentale</w:t>
      </w:r>
      <w:r>
        <w:rPr>
          <w:iCs/>
          <w:i/>
        </w:rPr>
        <w:t xml:space="preserve"> </w:t>
      </w:r>
      <w:r>
        <w:rPr>
          <w:iCs/>
          <w:i/>
        </w:rPr>
        <w:t xml:space="preserve">Française</w:t>
      </w:r>
      <w:r>
        <w:t xml:space="preserve">. Genève: OMS. Retrieved from</w:t>
      </w:r>
      <w:r>
        <w:t xml:space="preserve"> </w:t>
      </w:r>
      <w:hyperlink r:id="rId312">
        <w:r>
          <w:rPr>
            <w:rStyle w:val="Hyperlink"/>
          </w:rPr>
          <w:t xml:space="preserve">http://www.documentation.ird.fr/hor/fdi:42581</w:t>
        </w:r>
      </w:hyperlink>
    </w:p>
    <w:bookmarkEnd w:id="313"/>
    <w:bookmarkStart w:id="315" w:name="ref-horning_mapping_2020"/>
    <w:p>
      <w:pPr>
        <w:pStyle w:val="Bibliography"/>
      </w:pPr>
      <w:r>
        <w:t xml:space="preserve">Horning, N., Fleishman, E., Ersts, P. J., Fogarty, F. A., &amp; Wohlfeil Zillig, M. (2020). Mapping of land cover with open‐source software and ultra‐high‐resolution imagery acquired with unmanned aerial vehicles.</w:t>
      </w:r>
      <w:r>
        <w:t xml:space="preserve"> </w:t>
      </w:r>
      <w:r>
        <w:rPr>
          <w:iCs/>
          <w:i/>
        </w:rPr>
        <w:t xml:space="preserve">Remote Sensing in Ecology and Conservation</w:t>
      </w:r>
      <w:r>
        <w:t xml:space="preserve">,</w:t>
      </w:r>
      <w:r>
        <w:t xml:space="preserve"> </w:t>
      </w:r>
      <w:r>
        <w:rPr>
          <w:iCs/>
          <w:i/>
        </w:rPr>
        <w:t xml:space="preserve">6</w:t>
      </w:r>
      <w:r>
        <w:t xml:space="preserve">(4), 487–497. http://doi.org/</w:t>
      </w:r>
      <w:hyperlink r:id="rId314">
        <w:r>
          <w:rPr>
            <w:rStyle w:val="Hyperlink"/>
          </w:rPr>
          <w:t xml:space="preserve">10.1002/rse2.144</w:t>
        </w:r>
      </w:hyperlink>
    </w:p>
    <w:bookmarkEnd w:id="315"/>
    <w:bookmarkStart w:id="316" w:name="ref-INSD_1"/>
    <w:p>
      <w:pPr>
        <w:pStyle w:val="Bibliography"/>
      </w:pPr>
      <w:r>
        <w:t xml:space="preserve">INSD. (2015). Tableau de bord économique et social 2014 de la région du sud ouest.</w:t>
      </w:r>
    </w:p>
    <w:bookmarkEnd w:id="316"/>
    <w:bookmarkStart w:id="317" w:name="ref-INSD_2"/>
    <w:p>
      <w:pPr>
        <w:pStyle w:val="Bibliography"/>
      </w:pPr>
      <w:r>
        <w:t xml:space="preserve">INSD. (2017). Enquête nationale sur le secteur de l’orpaillage (ENSO).</w:t>
      </w:r>
    </w:p>
    <w:bookmarkEnd w:id="317"/>
    <w:bookmarkStart w:id="318" w:name="ref-thesisdown"/>
    <w:p>
      <w:pPr>
        <w:pStyle w:val="Bibliography"/>
      </w:pPr>
      <w:r>
        <w:t xml:space="preserve">Ismay, C., &amp; Solomon, N. (n.d.).</w:t>
      </w:r>
      <w:r>
        <w:t xml:space="preserve"> </w:t>
      </w:r>
      <w:r>
        <w:rPr>
          <w:iCs/>
          <w:i/>
        </w:rPr>
        <w:t xml:space="preserve">Thesisdown: An updated r markdown thesis template using the bookdown package</w:t>
      </w:r>
      <w:r>
        <w:t xml:space="preserve">.</w:t>
      </w:r>
    </w:p>
    <w:bookmarkEnd w:id="318"/>
    <w:bookmarkStart w:id="320" w:name="ref-jenson_extracting_1988"/>
    <w:p>
      <w:pPr>
        <w:pStyle w:val="Bibliography"/>
      </w:pPr>
      <w:r>
        <w:t xml:space="preserve">Jenson, S. K., &amp; Domingue, J. O. (1988). Extracting topographic structure from digital elevation data for geographic information-system analysis.</w:t>
      </w:r>
      <w:r>
        <w:t xml:space="preserve"> </w:t>
      </w:r>
      <w:r>
        <w:rPr>
          <w:iCs/>
          <w:i/>
        </w:rPr>
        <w:t xml:space="preserve">Photogrammetric Engineering and Remote Sensing</w:t>
      </w:r>
      <w:r>
        <w:t xml:space="preserve">,</w:t>
      </w:r>
      <w:r>
        <w:t xml:space="preserve"> </w:t>
      </w:r>
      <w:r>
        <w:rPr>
          <w:iCs/>
          <w:i/>
        </w:rPr>
        <w:t xml:space="preserve">54</w:t>
      </w:r>
      <w:r>
        <w:t xml:space="preserve">(11), 1593–1600. Retrieved from</w:t>
      </w:r>
      <w:r>
        <w:t xml:space="preserve"> </w:t>
      </w:r>
      <w:hyperlink r:id="rId319">
        <w:r>
          <w:rPr>
            <w:rStyle w:val="Hyperlink"/>
          </w:rPr>
          <w:t xml:space="preserve">http://pubs.er.usgs.gov/publication/70142175</w:t>
        </w:r>
      </w:hyperlink>
    </w:p>
    <w:bookmarkEnd w:id="320"/>
    <w:bookmarkStart w:id="322" w:name="ref-johnson-laird_human_2013"/>
    <w:p>
      <w:pPr>
        <w:pStyle w:val="Bibliography"/>
      </w:pPr>
      <w:r>
        <w:t xml:space="preserve">Johnson-Laird, P. N. (2013).</w:t>
      </w:r>
      <w:r>
        <w:t xml:space="preserve"> </w:t>
      </w:r>
      <w:r>
        <w:rPr>
          <w:iCs/>
          <w:i/>
        </w:rPr>
        <w:t xml:space="preserve">Human and</w:t>
      </w:r>
      <w:r>
        <w:rPr>
          <w:iCs/>
          <w:i/>
        </w:rPr>
        <w:t xml:space="preserve"> </w:t>
      </w:r>
      <w:r>
        <w:rPr>
          <w:iCs/>
          <w:i/>
        </w:rPr>
        <w:t xml:space="preserve">Machine</w:t>
      </w:r>
      <w:r>
        <w:rPr>
          <w:iCs/>
          <w:i/>
        </w:rPr>
        <w:t xml:space="preserve"> </w:t>
      </w:r>
      <w:r>
        <w:rPr>
          <w:iCs/>
          <w:i/>
        </w:rPr>
        <w:t xml:space="preserve">Thinking</w:t>
      </w:r>
      <w:r>
        <w:t xml:space="preserve">. Taylor &amp; Francis. Retrieved from</w:t>
      </w:r>
      <w:r>
        <w:t xml:space="preserve"> </w:t>
      </w:r>
      <w:hyperlink r:id="rId321">
        <w:r>
          <w:rPr>
            <w:rStyle w:val="Hyperlink"/>
          </w:rPr>
          <w:t xml:space="preserve">https://books.google.fr/books?id=gUb7AQAAQBAJ</w:t>
        </w:r>
      </w:hyperlink>
    </w:p>
    <w:bookmarkEnd w:id="322"/>
    <w:bookmarkStart w:id="324" w:name="ref-nasa_jpl_nasa_2013"/>
    <w:p>
      <w:pPr>
        <w:pStyle w:val="Bibliography"/>
      </w:pPr>
      <w:r>
        <w:t xml:space="preserve">JPL, N. (2013).</w:t>
      </w:r>
      <w:r>
        <w:t xml:space="preserve"> </w:t>
      </w:r>
      <w:r>
        <w:t xml:space="preserve">NASA</w:t>
      </w:r>
      <w:r>
        <w:t xml:space="preserve"> </w:t>
      </w:r>
      <w:r>
        <w:t xml:space="preserve">Shuttle</w:t>
      </w:r>
      <w:r>
        <w:t xml:space="preserve"> </w:t>
      </w:r>
      <w:r>
        <w:t xml:space="preserve">Radar</w:t>
      </w:r>
      <w:r>
        <w:t xml:space="preserve"> </w:t>
      </w:r>
      <w:r>
        <w:t xml:space="preserve">Topography</w:t>
      </w:r>
      <w:r>
        <w:t xml:space="preserve"> </w:t>
      </w:r>
      <w:r>
        <w:t xml:space="preserve">Mission</w:t>
      </w:r>
      <w:r>
        <w:t xml:space="preserve"> </w:t>
      </w:r>
      <w:r>
        <w:t xml:space="preserve">Global</w:t>
      </w:r>
      <w:r>
        <w:t xml:space="preserve"> </w:t>
      </w:r>
      <w:r>
        <w:t xml:space="preserve">1 arc second. NASA EOSDIS Land Processes DAAC. http://doi.org/</w:t>
      </w:r>
      <w:hyperlink r:id="rId323">
        <w:r>
          <w:rPr>
            <w:rStyle w:val="Hyperlink"/>
          </w:rPr>
          <w:t xml:space="preserve">10.5067/MEASURES/SRTM/SRTMGL1.003</w:t>
        </w:r>
      </w:hyperlink>
    </w:p>
    <w:bookmarkEnd w:id="324"/>
    <w:bookmarkStart w:id="326" w:name="ref-karpatne_theory-guided_2017"/>
    <w:p>
      <w:pPr>
        <w:pStyle w:val="Bibliography"/>
      </w:pPr>
      <w:r>
        <w:t xml:space="preserve">Karpatne, A., Atluri, G., Faghmous, J. H., Steinbach, M., Banerjee, A., Ganguly, A., … Kumar, V. (2017). Theory-</w:t>
      </w:r>
      <w:r>
        <w:t xml:space="preserve">Guided</w:t>
      </w:r>
      <w:r>
        <w:t xml:space="preserve"> </w:t>
      </w:r>
      <w:r>
        <w:t xml:space="preserve">Data</w:t>
      </w:r>
      <w:r>
        <w:t xml:space="preserve"> </w:t>
      </w:r>
      <w:r>
        <w:t xml:space="preserve">Science</w:t>
      </w:r>
      <w:r>
        <w:t xml:space="preserve">:</w:t>
      </w:r>
      <w:r>
        <w:t xml:space="preserve"> </w:t>
      </w:r>
      <w:r>
        <w:t xml:space="preserve">A</w:t>
      </w:r>
      <w:r>
        <w:t xml:space="preserve"> </w:t>
      </w:r>
      <w:r>
        <w:t xml:space="preserve">New</w:t>
      </w:r>
      <w:r>
        <w:t xml:space="preserve"> </w:t>
      </w:r>
      <w:r>
        <w:t xml:space="preserve">Paradigm</w:t>
      </w:r>
      <w:r>
        <w:t xml:space="preserve"> </w:t>
      </w:r>
      <w:r>
        <w:t xml:space="preserve">for</w:t>
      </w:r>
      <w:r>
        <w:t xml:space="preserve"> </w:t>
      </w:r>
      <w:r>
        <w:t xml:space="preserve">Scientific</w:t>
      </w:r>
      <w:r>
        <w:t xml:space="preserve"> </w:t>
      </w:r>
      <w:r>
        <w:t xml:space="preserve">Discovery</w:t>
      </w:r>
      <w:r>
        <w:t xml:space="preserve"> </w:t>
      </w:r>
      <w:r>
        <w:t xml:space="preserve">from</w:t>
      </w:r>
      <w:r>
        <w:t xml:space="preserve"> </w:t>
      </w:r>
      <w:r>
        <w:t xml:space="preserve">Data</w:t>
      </w:r>
      <w:r>
        <w:t xml:space="preserve">.</w:t>
      </w:r>
      <w:r>
        <w:t xml:space="preserve"> </w:t>
      </w:r>
      <w:r>
        <w:rPr>
          <w:iCs/>
          <w:i/>
        </w:rPr>
        <w:t xml:space="preserve">IEEE Transactions on Knowledge and Data Engineering</w:t>
      </w:r>
      <w:r>
        <w:t xml:space="preserve">,</w:t>
      </w:r>
      <w:r>
        <w:t xml:space="preserve"> </w:t>
      </w:r>
      <w:r>
        <w:rPr>
          <w:iCs/>
          <w:i/>
        </w:rPr>
        <w:t xml:space="preserve">29</w:t>
      </w:r>
      <w:r>
        <w:t xml:space="preserve">(10), 2318–2331. http://doi.org/</w:t>
      </w:r>
      <w:hyperlink r:id="rId325">
        <w:r>
          <w:rPr>
            <w:rStyle w:val="Hyperlink"/>
          </w:rPr>
          <w:t xml:space="preserve">10.1109/TKDE.2017.2720168</w:t>
        </w:r>
      </w:hyperlink>
    </w:p>
    <w:bookmarkEnd w:id="326"/>
    <w:bookmarkStart w:id="328" w:name="ref-kell_here_2004"/>
    <w:p>
      <w:pPr>
        <w:pStyle w:val="Bibliography"/>
      </w:pPr>
      <w:r>
        <w:t xml:space="preserve">Kell, D. B., &amp; Oliver, S. G. (2004). Here is the evidence, now what is the hypothesis?</w:t>
      </w:r>
      <w:r>
        <w:t xml:space="preserve"> </w:t>
      </w:r>
      <w:r>
        <w:t xml:space="preserve">The</w:t>
      </w:r>
      <w:r>
        <w:t xml:space="preserve"> </w:t>
      </w:r>
      <w:r>
        <w:t xml:space="preserve">complementary roles of inductive and hypothesis-driven science in the post-genomic era.</w:t>
      </w:r>
      <w:r>
        <w:t xml:space="preserve"> </w:t>
      </w:r>
      <w:r>
        <w:rPr>
          <w:iCs/>
          <w:i/>
        </w:rPr>
        <w:t xml:space="preserve">BioEssays</w:t>
      </w:r>
      <w:r>
        <w:t xml:space="preserve">,</w:t>
      </w:r>
      <w:r>
        <w:t xml:space="preserve"> </w:t>
      </w:r>
      <w:r>
        <w:rPr>
          <w:iCs/>
          <w:i/>
        </w:rPr>
        <w:t xml:space="preserve">26</w:t>
      </w:r>
      <w:r>
        <w:t xml:space="preserve">(1), 99–105. http://doi.org/</w:t>
      </w:r>
      <w:hyperlink r:id="rId327">
        <w:r>
          <w:rPr>
            <w:rStyle w:val="Hyperlink"/>
          </w:rPr>
          <w:t xml:space="preserve">10.1002/bies.10385</w:t>
        </w:r>
      </w:hyperlink>
    </w:p>
    <w:bookmarkEnd w:id="328"/>
    <w:bookmarkStart w:id="330" w:name="ref-killeen_characterizing_2014"/>
    <w:p>
      <w:pPr>
        <w:pStyle w:val="Bibliography"/>
      </w:pPr>
      <w:r>
        <w:t xml:space="preserve">Killeen, Gerry F. (2014). Characterizing, controlling and eliminating residual malaria transmission.</w:t>
      </w:r>
      <w:r>
        <w:t xml:space="preserve"> </w:t>
      </w:r>
      <w:r>
        <w:rPr>
          <w:iCs/>
          <w:i/>
        </w:rPr>
        <w:t xml:space="preserve">Malaria Journal</w:t>
      </w:r>
      <w:r>
        <w:t xml:space="preserve">,</w:t>
      </w:r>
      <w:r>
        <w:t xml:space="preserve"> </w:t>
      </w:r>
      <w:r>
        <w:rPr>
          <w:iCs/>
          <w:i/>
        </w:rPr>
        <w:t xml:space="preserve">13</w:t>
      </w:r>
      <w:r>
        <w:t xml:space="preserve">(1), 330. http://doi.org/</w:t>
      </w:r>
      <w:hyperlink r:id="rId329">
        <w:r>
          <w:rPr>
            <w:rStyle w:val="Hyperlink"/>
          </w:rPr>
          <w:t xml:space="preserve">10.1186/1475-2875-13-330</w:t>
        </w:r>
      </w:hyperlink>
    </w:p>
    <w:bookmarkEnd w:id="330"/>
    <w:bookmarkStart w:id="332" w:name="ref-killeen_quantifying_2006"/>
    <w:p>
      <w:pPr>
        <w:pStyle w:val="Bibliography"/>
      </w:pPr>
      <w:r>
        <w:t xml:space="preserve">Killeen, Gerry F., Kihonda, J., Lyimo, E., Oketch, F. R., Kotas, M. E., Mathenge, E., … Drakeley, C. J. (2006). Quantifying behavioural interactions between humans and mosquitoes:</w:t>
      </w:r>
      <w:r>
        <w:t xml:space="preserve"> </w:t>
      </w:r>
      <w:r>
        <w:t xml:space="preserve">Evaluating</w:t>
      </w:r>
      <w:r>
        <w:t xml:space="preserve"> </w:t>
      </w:r>
      <w:r>
        <w:t xml:space="preserve">the protective efficacy of insecticidal nets against malaria transmission in rural</w:t>
      </w:r>
      <w:r>
        <w:t xml:space="preserve"> </w:t>
      </w:r>
      <w:r>
        <w:t xml:space="preserve">Tanzania</w:t>
      </w:r>
      <w:r>
        <w:t xml:space="preserve">.</w:t>
      </w:r>
      <w:r>
        <w:t xml:space="preserve"> </w:t>
      </w:r>
      <w:r>
        <w:rPr>
          <w:iCs/>
          <w:i/>
        </w:rPr>
        <w:t xml:space="preserve">BMC Infectious Diseases</w:t>
      </w:r>
      <w:r>
        <w:t xml:space="preserve">,</w:t>
      </w:r>
      <w:r>
        <w:t xml:space="preserve"> </w:t>
      </w:r>
      <w:r>
        <w:rPr>
          <w:iCs/>
          <w:i/>
        </w:rPr>
        <w:t xml:space="preserve">6</w:t>
      </w:r>
      <w:r>
        <w:t xml:space="preserve">(1), 161. http://doi.org/</w:t>
      </w:r>
      <w:hyperlink r:id="rId331">
        <w:r>
          <w:rPr>
            <w:rStyle w:val="Hyperlink"/>
          </w:rPr>
          <w:t xml:space="preserve">10.1186/1471-2334-6-161</w:t>
        </w:r>
      </w:hyperlink>
    </w:p>
    <w:bookmarkEnd w:id="332"/>
    <w:bookmarkStart w:id="334" w:name="ref-killeen_exploring_2007"/>
    <w:p>
      <w:pPr>
        <w:pStyle w:val="Bibliography"/>
      </w:pPr>
      <w:r>
        <w:t xml:space="preserve">Killeen, Gerry F., &amp; Smith, T. A. (2007). Exploring the contributions of bed nets, cattle, insecticides and excitorepellency to malaria control: A deterministic model of mosquito host-seeking behaviour and mortality.</w:t>
      </w:r>
      <w:r>
        <w:t xml:space="preserve"> </w:t>
      </w:r>
      <w:r>
        <w:rPr>
          <w:iCs/>
          <w:i/>
        </w:rPr>
        <w:t xml:space="preserve">Transactions of the Royal Society of Tropical Medicine and Hygiene</w:t>
      </w:r>
      <w:r>
        <w:t xml:space="preserve">,</w:t>
      </w:r>
      <w:r>
        <w:t xml:space="preserve"> </w:t>
      </w:r>
      <w:r>
        <w:rPr>
          <w:iCs/>
          <w:i/>
        </w:rPr>
        <w:t xml:space="preserve">101</w:t>
      </w:r>
      <w:r>
        <w:t xml:space="preserve">(9), 867–880. http://doi.org/</w:t>
      </w:r>
      <w:hyperlink r:id="rId333">
        <w:r>
          <w:rPr>
            <w:rStyle w:val="Hyperlink"/>
          </w:rPr>
          <w:t xml:space="preserve">10.1016/j.trstmh.2007.04.022</w:t>
        </w:r>
      </w:hyperlink>
    </w:p>
    <w:bookmarkEnd w:id="334"/>
    <w:bookmarkStart w:id="336" w:name="ref-killeen_preventing_2007"/>
    <w:p>
      <w:pPr>
        <w:pStyle w:val="Bibliography"/>
      </w:pPr>
      <w:r>
        <w:t xml:space="preserve">Killeen, Gerry F., Smith, T. A., Ferguson, H. M., Mshinda, H., Abdulla, S., Lengeler, C., &amp; Kachur, S. P. (2007). Preventing</w:t>
      </w:r>
      <w:r>
        <w:t xml:space="preserve"> </w:t>
      </w:r>
      <w:r>
        <w:t xml:space="preserve">Childhood</w:t>
      </w:r>
      <w:r>
        <w:t xml:space="preserve"> </w:t>
      </w:r>
      <w:r>
        <w:t xml:space="preserve">Malaria</w:t>
      </w:r>
      <w:r>
        <w:t xml:space="preserve"> </w:t>
      </w:r>
      <w:r>
        <w:t xml:space="preserve">in</w:t>
      </w:r>
      <w:r>
        <w:t xml:space="preserve"> </w:t>
      </w:r>
      <w:r>
        <w:t xml:space="preserve">Africa</w:t>
      </w:r>
      <w:r>
        <w:t xml:space="preserve"> </w:t>
      </w:r>
      <w:r>
        <w:t xml:space="preserve">by</w:t>
      </w:r>
      <w:r>
        <w:t xml:space="preserve"> </w:t>
      </w:r>
      <w:r>
        <w:t xml:space="preserve">Protecting</w:t>
      </w:r>
      <w:r>
        <w:t xml:space="preserve"> </w:t>
      </w:r>
      <w:r>
        <w:t xml:space="preserve">Adults</w:t>
      </w:r>
      <w:r>
        <w:t xml:space="preserve"> </w:t>
      </w:r>
      <w:r>
        <w:t xml:space="preserve">from</w:t>
      </w:r>
      <w:r>
        <w:t xml:space="preserve"> </w:t>
      </w:r>
      <w:r>
        <w:t xml:space="preserve">Mosquitoes</w:t>
      </w:r>
      <w:r>
        <w:t xml:space="preserve"> </w:t>
      </w:r>
      <w:r>
        <w:t xml:space="preserve">with</w:t>
      </w:r>
      <w:r>
        <w:t xml:space="preserve"> </w:t>
      </w:r>
      <w:r>
        <w:t xml:space="preserve">Insecticide</w:t>
      </w:r>
      <w:r>
        <w:t xml:space="preserve">-</w:t>
      </w:r>
      <w:r>
        <w:t xml:space="preserve">Treated</w:t>
      </w:r>
      <w:r>
        <w:t xml:space="preserve"> </w:t>
      </w:r>
      <w:r>
        <w:t xml:space="preserve">Nets</w:t>
      </w:r>
      <w:r>
        <w:t xml:space="preserve">.</w:t>
      </w:r>
      <w:r>
        <w:t xml:space="preserve"> </w:t>
      </w:r>
      <w:r>
        <w:rPr>
          <w:iCs/>
          <w:i/>
        </w:rPr>
        <w:t xml:space="preserve">PLoS Medicine</w:t>
      </w:r>
      <w:r>
        <w:t xml:space="preserve">,</w:t>
      </w:r>
      <w:r>
        <w:t xml:space="preserve"> </w:t>
      </w:r>
      <w:r>
        <w:rPr>
          <w:iCs/>
          <w:i/>
        </w:rPr>
        <w:t xml:space="preserve">4</w:t>
      </w:r>
      <w:r>
        <w:t xml:space="preserve">(7), e229. http://doi.org/</w:t>
      </w:r>
      <w:hyperlink r:id="rId335">
        <w:r>
          <w:rPr>
            <w:rStyle w:val="Hyperlink"/>
          </w:rPr>
          <w:t xml:space="preserve">10.1371/journal.pmed.0040229</w:t>
        </w:r>
      </w:hyperlink>
    </w:p>
    <w:bookmarkEnd w:id="336"/>
    <w:bookmarkStart w:id="337" w:name="ref-koekemoer_cocktail_2002"/>
    <w:p>
      <w:pPr>
        <w:pStyle w:val="Bibliography"/>
      </w:pPr>
      <w:r>
        <w:t xml:space="preserve">Koekemoer, L. L., Kamau, L., Hunt, R. H., &amp; Coetzee, M. (2002). A cocktail polymerase chain reaction assay to identify members of the</w:t>
      </w:r>
      <w:r>
        <w:t xml:space="preserve"> </w:t>
      </w:r>
      <w:r>
        <w:t xml:space="preserve">Anopheles</w:t>
      </w:r>
      <w:r>
        <w:t xml:space="preserve"> </w:t>
      </w:r>
      <w:r>
        <w:t xml:space="preserve">funestus (</w:t>
      </w:r>
      <w:r>
        <w:t xml:space="preserve">Diptera</w:t>
      </w:r>
      <w:r>
        <w:t xml:space="preserve">:</w:t>
      </w:r>
      <w:r>
        <w:t xml:space="preserve"> </w:t>
      </w:r>
      <w:r>
        <w:t xml:space="preserve">Culicidae</w:t>
      </w:r>
      <w:r>
        <w:t xml:space="preserve">) group.</w:t>
      </w:r>
      <w:r>
        <w:t xml:space="preserve"> </w:t>
      </w:r>
      <w:r>
        <w:rPr>
          <w:iCs/>
          <w:i/>
        </w:rPr>
        <w:t xml:space="preserve">The American Journal of Tropical Medicine and Hygiene</w:t>
      </w:r>
      <w:r>
        <w:t xml:space="preserve">,</w:t>
      </w:r>
      <w:r>
        <w:t xml:space="preserve"> </w:t>
      </w:r>
      <w:r>
        <w:rPr>
          <w:iCs/>
          <w:i/>
        </w:rPr>
        <w:t xml:space="preserve">66</w:t>
      </w:r>
      <w:r>
        <w:t xml:space="preserve">(6), 804–811.</w:t>
      </w:r>
    </w:p>
    <w:bookmarkEnd w:id="337"/>
    <w:bookmarkStart w:id="339" w:name="ref-labbe_evolution_2017"/>
    <w:p>
      <w:pPr>
        <w:pStyle w:val="Bibliography"/>
      </w:pPr>
      <w:r>
        <w:t xml:space="preserve">Labbé, P., David, J.-P., Alout, H., Milesi, P., Djogbénou, L., Pasteur, N., &amp; Weill, M. (2017). Evolution of</w:t>
      </w:r>
      <w:r>
        <w:t xml:space="preserve"> </w:t>
      </w:r>
      <w:r>
        <w:t xml:space="preserve">Resistance</w:t>
      </w:r>
      <w:r>
        <w:t xml:space="preserve"> </w:t>
      </w:r>
      <w:r>
        <w:t xml:space="preserve">to</w:t>
      </w:r>
      <w:r>
        <w:t xml:space="preserve"> </w:t>
      </w:r>
      <w:r>
        <w:t xml:space="preserve">Insecticide</w:t>
      </w:r>
      <w:r>
        <w:t xml:space="preserve"> </w:t>
      </w:r>
      <w:r>
        <w:t xml:space="preserve">in</w:t>
      </w:r>
      <w:r>
        <w:t xml:space="preserve"> </w:t>
      </w:r>
      <w:r>
        <w:t xml:space="preserve">Disease</w:t>
      </w:r>
      <w:r>
        <w:t xml:space="preserve"> </w:t>
      </w:r>
      <w:r>
        <w:t xml:space="preserve">Vectors</w:t>
      </w:r>
      <w:r>
        <w:t xml:space="preserve">. In</w:t>
      </w:r>
      <w:r>
        <w:t xml:space="preserve"> </w:t>
      </w:r>
      <w:r>
        <w:rPr>
          <w:iCs/>
          <w:i/>
        </w:rPr>
        <w:t xml:space="preserve">Genetics and</w:t>
      </w:r>
      <w:r>
        <w:rPr>
          <w:iCs/>
          <w:i/>
        </w:rPr>
        <w:t xml:space="preserve"> </w:t>
      </w:r>
      <w:r>
        <w:rPr>
          <w:iCs/>
          <w:i/>
        </w:rPr>
        <w:t xml:space="preserve">Evolution</w:t>
      </w:r>
      <w:r>
        <w:rPr>
          <w:iCs/>
          <w:i/>
        </w:rPr>
        <w:t xml:space="preserve"> </w:t>
      </w:r>
      <w:r>
        <w:rPr>
          <w:iCs/>
          <w:i/>
        </w:rPr>
        <w:t xml:space="preserve">of</w:t>
      </w:r>
      <w:r>
        <w:rPr>
          <w:iCs/>
          <w:i/>
        </w:rPr>
        <w:t xml:space="preserve"> </w:t>
      </w:r>
      <w:r>
        <w:rPr>
          <w:iCs/>
          <w:i/>
        </w:rPr>
        <w:t xml:space="preserve">Infectious</w:t>
      </w:r>
      <w:r>
        <w:rPr>
          <w:iCs/>
          <w:i/>
        </w:rPr>
        <w:t xml:space="preserve"> </w:t>
      </w:r>
      <w:r>
        <w:rPr>
          <w:iCs/>
          <w:i/>
        </w:rPr>
        <w:t xml:space="preserve">Diseases</w:t>
      </w:r>
      <w:r>
        <w:t xml:space="preserve"> </w:t>
      </w:r>
      <w:r>
        <w:t xml:space="preserve">(pp. 313–339). Elsevier. http://doi.org/</w:t>
      </w:r>
      <w:hyperlink r:id="rId338">
        <w:r>
          <w:rPr>
            <w:rStyle w:val="Hyperlink"/>
          </w:rPr>
          <w:t xml:space="preserve">10.1016/B978-0-12-799942-5.00014-7</w:t>
        </w:r>
      </w:hyperlink>
    </w:p>
    <w:bookmarkEnd w:id="339"/>
    <w:bookmarkStart w:id="341" w:name="ref-le_goff_low_1997"/>
    <w:p>
      <w:pPr>
        <w:pStyle w:val="Bibliography"/>
      </w:pPr>
      <w:r>
        <w:t xml:space="preserve">Le Goff, G., Carneval, P., &amp; Robert, V. (1997). Low dispersion of anopheline malaria vectors in the</w:t>
      </w:r>
      <w:r>
        <w:t xml:space="preserve"> </w:t>
      </w:r>
      <w:r>
        <w:t xml:space="preserve">African</w:t>
      </w:r>
      <w:r>
        <w:t xml:space="preserve"> </w:t>
      </w:r>
      <w:r>
        <w:t xml:space="preserve">equatorial forest.</w:t>
      </w:r>
      <w:r>
        <w:t xml:space="preserve"> </w:t>
      </w:r>
      <w:r>
        <w:rPr>
          <w:iCs/>
          <w:i/>
        </w:rPr>
        <w:t xml:space="preserve">Parasite</w:t>
      </w:r>
      <w:r>
        <w:t xml:space="preserve">,</w:t>
      </w:r>
      <w:r>
        <w:t xml:space="preserve"> </w:t>
      </w:r>
      <w:r>
        <w:rPr>
          <w:iCs/>
          <w:i/>
        </w:rPr>
        <w:t xml:space="preserve">4</w:t>
      </w:r>
      <w:r>
        <w:t xml:space="preserve">(2), 187–189. http://doi.org/</w:t>
      </w:r>
      <w:hyperlink r:id="rId340">
        <w:r>
          <w:rPr>
            <w:rStyle w:val="Hyperlink"/>
          </w:rPr>
          <w:t xml:space="preserve">10.1051/parasite/1997042187</w:t>
        </w:r>
      </w:hyperlink>
    </w:p>
    <w:bookmarkEnd w:id="341"/>
    <w:bookmarkStart w:id="343" w:name="ref-le_monde_covid-19_2020"/>
    <w:p>
      <w:pPr>
        <w:pStyle w:val="Bibliography"/>
      </w:pPr>
      <w:r>
        <w:t xml:space="preserve">Le Monde. (2020, December). Le</w:t>
      </w:r>
      <w:r>
        <w:t xml:space="preserve"> </w:t>
      </w:r>
      <w:r>
        <w:t xml:space="preserve">Covid</w:t>
      </w:r>
      <w:r>
        <w:t xml:space="preserve">-19 est-il la plus grande épidémie actuelle ? (</w:t>
      </w:r>
      <w:r>
        <w:t xml:space="preserve">VIH</w:t>
      </w:r>
      <w:r>
        <w:t xml:space="preserve">, paludisme, tuberculose...). Retrieved from</w:t>
      </w:r>
      <w:r>
        <w:t xml:space="preserve"> </w:t>
      </w:r>
      <w:hyperlink r:id="rId342">
        <w:r>
          <w:rPr>
            <w:rStyle w:val="Hyperlink"/>
          </w:rPr>
          <w:t xml:space="preserve">https://www.youtube.com/watch?v=ZizfWA7fyto</w:t>
        </w:r>
      </w:hyperlink>
    </w:p>
    <w:bookmarkEnd w:id="343"/>
    <w:bookmarkStart w:id="345" w:name="ref-liaw_classification_2002"/>
    <w:p>
      <w:pPr>
        <w:pStyle w:val="Bibliography"/>
      </w:pPr>
      <w:r>
        <w:t xml:space="preserve">Liaw, A., &amp; Wiener, M. (2002). Classification and</w:t>
      </w:r>
      <w:r>
        <w:t xml:space="preserve"> </w:t>
      </w:r>
      <w:r>
        <w:t xml:space="preserve">Regression</w:t>
      </w:r>
      <w:r>
        <w:t xml:space="preserve"> </w:t>
      </w:r>
      <w:r>
        <w:t xml:space="preserve">by</w:t>
      </w:r>
      <w:r>
        <w:t xml:space="preserve"> </w:t>
      </w:r>
      <w:r>
        <w:t xml:space="preserve">randomForest</w:t>
      </w:r>
      <w:r>
        <w:t xml:space="preserve">.</w:t>
      </w:r>
      <w:r>
        <w:t xml:space="preserve"> </w:t>
      </w:r>
      <w:r>
        <w:rPr>
          <w:iCs/>
          <w:i/>
        </w:rPr>
        <w:t xml:space="preserve">R News</w:t>
      </w:r>
      <w:r>
        <w:t xml:space="preserve">,</w:t>
      </w:r>
      <w:r>
        <w:t xml:space="preserve"> </w:t>
      </w:r>
      <w:r>
        <w:rPr>
          <w:iCs/>
          <w:i/>
        </w:rPr>
        <w:t xml:space="preserve">2</w:t>
      </w:r>
      <w:r>
        <w:t xml:space="preserve">(3), 18–22. Retrieved from</w:t>
      </w:r>
      <w:r>
        <w:t xml:space="preserve"> </w:t>
      </w:r>
      <w:hyperlink r:id="rId344">
        <w:r>
          <w:rPr>
            <w:rStyle w:val="Hyperlink"/>
          </w:rPr>
          <w:t xml:space="preserve">https://CRAN.R-project.org/doc/Rnews/</w:t>
        </w:r>
      </w:hyperlink>
    </w:p>
    <w:bookmarkEnd w:id="345"/>
    <w:bookmarkStart w:id="347" w:name="ref-lockwood_evolution_1984"/>
    <w:p>
      <w:pPr>
        <w:pStyle w:val="Bibliography"/>
      </w:pPr>
      <w:r>
        <w:t xml:space="preserve">Lockwood, J. A., Sparks, T. C., &amp; Story, R. N. (1984). Evolution of</w:t>
      </w:r>
      <w:r>
        <w:t xml:space="preserve"> </w:t>
      </w:r>
      <w:r>
        <w:t xml:space="preserve">Insect</w:t>
      </w:r>
      <w:r>
        <w:t xml:space="preserve"> </w:t>
      </w:r>
      <w:r>
        <w:t xml:space="preserve">Resistance</w:t>
      </w:r>
      <w:r>
        <w:t xml:space="preserve"> </w:t>
      </w:r>
      <w:r>
        <w:t xml:space="preserve">to</w:t>
      </w:r>
      <w:r>
        <w:t xml:space="preserve"> </w:t>
      </w:r>
      <w:r>
        <w:t xml:space="preserve">Insecticides</w:t>
      </w:r>
      <w:r>
        <w:t xml:space="preserve">:</w:t>
      </w:r>
      <w:r>
        <w:t xml:space="preserve"> </w:t>
      </w:r>
      <w:r>
        <w:t xml:space="preserve">A</w:t>
      </w:r>
      <w:r>
        <w:t xml:space="preserve"> </w:t>
      </w:r>
      <w:r>
        <w:t xml:space="preserve">Reevaluation</w:t>
      </w:r>
      <w:r>
        <w:t xml:space="preserve"> </w:t>
      </w:r>
      <w:r>
        <w:t xml:space="preserve">of the</w:t>
      </w:r>
      <w:r>
        <w:t xml:space="preserve"> </w:t>
      </w:r>
      <w:r>
        <w:t xml:space="preserve">Roles</w:t>
      </w:r>
      <w:r>
        <w:t xml:space="preserve"> </w:t>
      </w:r>
      <w:r>
        <w:t xml:space="preserve">of</w:t>
      </w:r>
      <w:r>
        <w:t xml:space="preserve"> </w:t>
      </w:r>
      <w:r>
        <w:t xml:space="preserve">Physiology</w:t>
      </w:r>
      <w:r>
        <w:t xml:space="preserve"> </w:t>
      </w:r>
      <w:r>
        <w:t xml:space="preserve">and</w:t>
      </w:r>
      <w:r>
        <w:t xml:space="preserve"> </w:t>
      </w:r>
      <w:r>
        <w:t xml:space="preserve">Behavior</w:t>
      </w:r>
      <w:r>
        <w:t xml:space="preserve">.</w:t>
      </w:r>
      <w:r>
        <w:t xml:space="preserve"> </w:t>
      </w:r>
      <w:r>
        <w:rPr>
          <w:iCs/>
          <w:i/>
        </w:rPr>
        <w:t xml:space="preserve">Bulletin of the Entomological Society of America</w:t>
      </w:r>
      <w:r>
        <w:t xml:space="preserve">,</w:t>
      </w:r>
      <w:r>
        <w:t xml:space="preserve"> </w:t>
      </w:r>
      <w:r>
        <w:rPr>
          <w:iCs/>
          <w:i/>
        </w:rPr>
        <w:t xml:space="preserve">30</w:t>
      </w:r>
      <w:r>
        <w:t xml:space="preserve">(4), 41–51. http://doi.org/</w:t>
      </w:r>
      <w:hyperlink r:id="rId346">
        <w:r>
          <w:rPr>
            <w:rStyle w:val="Hyperlink"/>
          </w:rPr>
          <w:t xml:space="preserve">10.1093/besa/30.4.41</w:t>
        </w:r>
      </w:hyperlink>
    </w:p>
    <w:bookmarkEnd w:id="347"/>
    <w:bookmarkStart w:id="349" w:name="ref-main_genetic_2016"/>
    <w:p>
      <w:pPr>
        <w:pStyle w:val="Bibliography"/>
      </w:pPr>
      <w:r>
        <w:t xml:space="preserve">Main, B. J., Lee, Y., Ferguson, H. M., Kreppel, K. S., Kihonda, A., Govella, N. J., … Lanzaro, G. C. (2016). The</w:t>
      </w:r>
      <w:r>
        <w:t xml:space="preserve"> </w:t>
      </w:r>
      <w:r>
        <w:t xml:space="preserve">Genetic</w:t>
      </w:r>
      <w:r>
        <w:t xml:space="preserve"> </w:t>
      </w:r>
      <w:r>
        <w:t xml:space="preserve">Basis</w:t>
      </w:r>
      <w:r>
        <w:t xml:space="preserve"> </w:t>
      </w:r>
      <w:r>
        <w:t xml:space="preserve">of</w:t>
      </w:r>
      <w:r>
        <w:t xml:space="preserve"> </w:t>
      </w:r>
      <w:r>
        <w:t xml:space="preserve">Host</w:t>
      </w:r>
      <w:r>
        <w:t xml:space="preserve"> </w:t>
      </w:r>
      <w:r>
        <w:t xml:space="preserve">Preference</w:t>
      </w:r>
      <w:r>
        <w:t xml:space="preserve"> </w:t>
      </w:r>
      <w:r>
        <w:t xml:space="preserve">and</w:t>
      </w:r>
      <w:r>
        <w:t xml:space="preserve"> </w:t>
      </w:r>
      <w:r>
        <w:t xml:space="preserve">Resting</w:t>
      </w:r>
      <w:r>
        <w:t xml:space="preserve"> </w:t>
      </w:r>
      <w:r>
        <w:t xml:space="preserve">Behavior</w:t>
      </w:r>
      <w:r>
        <w:t xml:space="preserve"> </w:t>
      </w:r>
      <w:r>
        <w:t xml:space="preserve">in the</w:t>
      </w:r>
      <w:r>
        <w:t xml:space="preserve"> </w:t>
      </w:r>
      <w:r>
        <w:t xml:space="preserve">Major</w:t>
      </w:r>
      <w:r>
        <w:t xml:space="preserve"> </w:t>
      </w:r>
      <w:r>
        <w:t xml:space="preserve">African</w:t>
      </w:r>
      <w:r>
        <w:t xml:space="preserve"> </w:t>
      </w:r>
      <w:r>
        <w:t xml:space="preserve">Malaria</w:t>
      </w:r>
      <w:r>
        <w:t xml:space="preserve"> </w:t>
      </w:r>
      <w:r>
        <w:t xml:space="preserve">Vector</w:t>
      </w:r>
      <w:r>
        <w:t xml:space="preserve">,</w:t>
      </w:r>
      <w:r>
        <w:t xml:space="preserve"> </w:t>
      </w:r>
      <w:r>
        <w:t xml:space="preserve">Anopheles</w:t>
      </w:r>
      <w:r>
        <w:t xml:space="preserve"> </w:t>
      </w:r>
      <w:r>
        <w:t xml:space="preserve">arabiensis.</w:t>
      </w:r>
      <w:r>
        <w:t xml:space="preserve"> </w:t>
      </w:r>
      <w:r>
        <w:rPr>
          <w:iCs/>
          <w:i/>
        </w:rPr>
        <w:t xml:space="preserve">PLOS Genetics</w:t>
      </w:r>
      <w:r>
        <w:t xml:space="preserve">,</w:t>
      </w:r>
      <w:r>
        <w:t xml:space="preserve"> </w:t>
      </w:r>
      <w:r>
        <w:rPr>
          <w:iCs/>
          <w:i/>
        </w:rPr>
        <w:t xml:space="preserve">12</w:t>
      </w:r>
      <w:r>
        <w:t xml:space="preserve">(9), e1006303. http://doi.org/</w:t>
      </w:r>
      <w:hyperlink r:id="rId348">
        <w:r>
          <w:rPr>
            <w:rStyle w:val="Hyperlink"/>
          </w:rPr>
          <w:t xml:space="preserve">10.1371/journal.pgen.1006303</w:t>
        </w:r>
      </w:hyperlink>
    </w:p>
    <w:bookmarkEnd w:id="349"/>
    <w:bookmarkStart w:id="351" w:name="ref-martinez-torres_molecular_1998"/>
    <w:p>
      <w:pPr>
        <w:pStyle w:val="Bibliography"/>
      </w:pPr>
      <w:r>
        <w:t xml:space="preserve">Martinez-Torres, D., Chandre, F., Williamson, M. S., Darriet, F., Berge, J. B., Devonshire, A. L., … Pauron, D. (1998). Molecular characterization of pyrethroid knockdown resistance (kdr) in the major malaria vector</w:t>
      </w:r>
      <w:r>
        <w:t xml:space="preserve"> </w:t>
      </w:r>
      <w:r>
        <w:t xml:space="preserve">Anopheles</w:t>
      </w:r>
      <w:r>
        <w:t xml:space="preserve"> </w:t>
      </w:r>
      <w:r>
        <w:t xml:space="preserve">gambiae s.s.</w:t>
      </w:r>
      <w:r>
        <w:t xml:space="preserve"> </w:t>
      </w:r>
      <w:r>
        <w:rPr>
          <w:iCs/>
          <w:i/>
        </w:rPr>
        <w:t xml:space="preserve">Insect Molecular Biology</w:t>
      </w:r>
      <w:r>
        <w:t xml:space="preserve">,</w:t>
      </w:r>
      <w:r>
        <w:t xml:space="preserve"> </w:t>
      </w:r>
      <w:r>
        <w:rPr>
          <w:iCs/>
          <w:i/>
        </w:rPr>
        <w:t xml:space="preserve">7</w:t>
      </w:r>
      <w:r>
        <w:t xml:space="preserve">(2), 179–184. http://doi.org/</w:t>
      </w:r>
      <w:hyperlink r:id="rId350">
        <w:r>
          <w:rPr>
            <w:rStyle w:val="Hyperlink"/>
          </w:rPr>
          <w:t xml:space="preserve">10.1046/j.1365-2583.1998.72062.x</w:t>
        </w:r>
      </w:hyperlink>
    </w:p>
    <w:bookmarkEnd w:id="351"/>
    <w:bookmarkStart w:id="353" w:name="ref-meyer_improving_2018"/>
    <w:p>
      <w:pPr>
        <w:pStyle w:val="Bibliography"/>
      </w:pPr>
      <w:r>
        <w:t xml:space="preserve">Meyer, H., Reudenbach, C., Hengl, T., Katurji, M., &amp; Nauss, T. (2018). Improving performance of spatio-temporal machine learning models using forward feature selection and target-oriented validation.</w:t>
      </w:r>
      <w:r>
        <w:t xml:space="preserve"> </w:t>
      </w:r>
      <w:r>
        <w:rPr>
          <w:iCs/>
          <w:i/>
        </w:rPr>
        <w:t xml:space="preserve">Environmental Modelling &amp; Software</w:t>
      </w:r>
      <w:r>
        <w:t xml:space="preserve">,</w:t>
      </w:r>
      <w:r>
        <w:t xml:space="preserve"> </w:t>
      </w:r>
      <w:r>
        <w:rPr>
          <w:iCs/>
          <w:i/>
        </w:rPr>
        <w:t xml:space="preserve">101</w:t>
      </w:r>
      <w:r>
        <w:t xml:space="preserve">, 1–9. http://doi.org/</w:t>
      </w:r>
      <w:hyperlink r:id="rId352">
        <w:r>
          <w:rPr>
            <w:rStyle w:val="Hyperlink"/>
          </w:rPr>
          <w:t xml:space="preserve">10.1016/j.envsoft.2017.12.001</w:t>
        </w:r>
      </w:hyperlink>
    </w:p>
    <w:bookmarkEnd w:id="353"/>
    <w:bookmarkStart w:id="355" w:name="ref-moiro2012"/>
    <w:p>
      <w:pPr>
        <w:pStyle w:val="Bibliography"/>
      </w:pPr>
      <w:r>
        <w:t xml:space="preserve">Moiroux, N. (2012).</w:t>
      </w:r>
      <w:r>
        <w:t xml:space="preserve"> </w:t>
      </w:r>
      <w:r>
        <w:rPr>
          <w:iCs/>
          <w:i/>
        </w:rPr>
        <w:t xml:space="preserve">Modélisation du risque d’exposition aux moustiques vecteurs de plasmodium spp. Dans un contexte de lutte anti-vectorielle</w:t>
      </w:r>
      <w:r>
        <w:t xml:space="preserve"> </w:t>
      </w:r>
      <w:r>
        <w:t xml:space="preserve">(PhD thesis). Retrieved from</w:t>
      </w:r>
      <w:r>
        <w:t xml:space="preserve"> </w:t>
      </w:r>
      <w:hyperlink r:id="rId354">
        <w:r>
          <w:rPr>
            <w:rStyle w:val="Hyperlink"/>
          </w:rPr>
          <w:t xml:space="preserve">http://www.theses.fr/2012MON20177/document</w:t>
        </w:r>
      </w:hyperlink>
    </w:p>
    <w:bookmarkEnd w:id="355"/>
    <w:bookmarkStart w:id="357" w:name="ref-moiroux_modelling_2013"/>
    <w:p>
      <w:pPr>
        <w:pStyle w:val="Bibliography"/>
      </w:pPr>
      <w:r>
        <w:t xml:space="preserve">Moiroux, N., Bio-Bangana, A. S., Djènontin, A., Chandre, F., Corbel, V., &amp; Guis, H. (2013). Modelling the risk of being bitten by malaria vectors in a vector control area in southern</w:t>
      </w:r>
      <w:r>
        <w:t xml:space="preserve"> </w:t>
      </w:r>
      <w:r>
        <w:t xml:space="preserve">Benin</w:t>
      </w:r>
      <w:r>
        <w:t xml:space="preserve">, west</w:t>
      </w:r>
      <w:r>
        <w:t xml:space="preserve"> </w:t>
      </w:r>
      <w:r>
        <w:t xml:space="preserve">Africa</w:t>
      </w:r>
      <w:r>
        <w:t xml:space="preserve">.</w:t>
      </w:r>
      <w:r>
        <w:t xml:space="preserve"> </w:t>
      </w:r>
      <w:r>
        <w:rPr>
          <w:iCs/>
          <w:i/>
        </w:rPr>
        <w:t xml:space="preserve">Parasites &amp; Vectors</w:t>
      </w:r>
      <w:r>
        <w:t xml:space="preserve">,</w:t>
      </w:r>
      <w:r>
        <w:t xml:space="preserve"> </w:t>
      </w:r>
      <w:r>
        <w:rPr>
          <w:iCs/>
          <w:i/>
        </w:rPr>
        <w:t xml:space="preserve">6</w:t>
      </w:r>
      <w:r>
        <w:t xml:space="preserve">(1), 71. http://doi.org/</w:t>
      </w:r>
      <w:hyperlink r:id="rId356">
        <w:r>
          <w:rPr>
            <w:rStyle w:val="Hyperlink"/>
          </w:rPr>
          <w:t xml:space="preserve">10.1186/1756-3305-6-71</w:t>
        </w:r>
      </w:hyperlink>
    </w:p>
    <w:bookmarkEnd w:id="357"/>
    <w:bookmarkStart w:id="359" w:name="ref-moiroux_spatio-temporal_2014"/>
    <w:p>
      <w:pPr>
        <w:pStyle w:val="Bibliography"/>
      </w:pPr>
      <w:r>
        <w:t xml:space="preserve">Moiroux, N., Djènontin, A., Bio-Bangana, A. S., Chandre, F., Corbel, V., &amp; Guis, H. (2014). Spatio-temporal analysis of abundances of three malaria vector species in southern</w:t>
      </w:r>
      <w:r>
        <w:t xml:space="preserve"> </w:t>
      </w:r>
      <w:r>
        <w:t xml:space="preserve">Benin</w:t>
      </w:r>
      <w:r>
        <w:t xml:space="preserve"> </w:t>
      </w:r>
      <w:r>
        <w:t xml:space="preserve">using zero-truncated models.</w:t>
      </w:r>
      <w:r>
        <w:t xml:space="preserve"> </w:t>
      </w:r>
      <w:r>
        <w:rPr>
          <w:iCs/>
          <w:i/>
        </w:rPr>
        <w:t xml:space="preserve">Parasites &amp; Vectors</w:t>
      </w:r>
      <w:r>
        <w:t xml:space="preserve">,</w:t>
      </w:r>
      <w:r>
        <w:t xml:space="preserve"> </w:t>
      </w:r>
      <w:r>
        <w:rPr>
          <w:iCs/>
          <w:i/>
        </w:rPr>
        <w:t xml:space="preserve">7</w:t>
      </w:r>
      <w:r>
        <w:t xml:space="preserve">(1), 103. http://doi.org/</w:t>
      </w:r>
      <w:hyperlink r:id="rId358">
        <w:r>
          <w:rPr>
            <w:rStyle w:val="Hyperlink"/>
          </w:rPr>
          <w:t xml:space="preserve">10.1186/1756-3305-7-103</w:t>
        </w:r>
      </w:hyperlink>
    </w:p>
    <w:bookmarkEnd w:id="359"/>
    <w:bookmarkStart w:id="360" w:name="ref-molnar_interpretable_2019"/>
    <w:p>
      <w:pPr>
        <w:pStyle w:val="Bibliography"/>
      </w:pPr>
      <w:r>
        <w:t xml:space="preserve">Molnar, C. (2019).</w:t>
      </w:r>
      <w:r>
        <w:t xml:space="preserve"> </w:t>
      </w:r>
      <w:r>
        <w:rPr>
          <w:iCs/>
          <w:i/>
        </w:rPr>
        <w:t xml:space="preserve">Interpretable</w:t>
      </w:r>
      <w:r>
        <w:rPr>
          <w:iCs/>
          <w:i/>
        </w:rPr>
        <w:t xml:space="preserve"> </w:t>
      </w:r>
      <w:r>
        <w:rPr>
          <w:iCs/>
          <w:i/>
        </w:rPr>
        <w:t xml:space="preserve">Machine</w:t>
      </w:r>
      <w:r>
        <w:rPr>
          <w:iCs/>
          <w:i/>
        </w:rPr>
        <w:t xml:space="preserve"> </w:t>
      </w:r>
      <w:r>
        <w:rPr>
          <w:iCs/>
          <w:i/>
        </w:rPr>
        <w:t xml:space="preserve">Learning</w:t>
      </w:r>
      <w:r>
        <w:rPr>
          <w:iCs/>
          <w:i/>
        </w:rPr>
        <w:t xml:space="preserve">:</w:t>
      </w:r>
      <w:r>
        <w:rPr>
          <w:iCs/>
          <w:i/>
        </w:rPr>
        <w:t xml:space="preserve"> </w:t>
      </w:r>
      <w:r>
        <w:rPr>
          <w:iCs/>
          <w:i/>
        </w:rPr>
        <w:t xml:space="preserve">A</w:t>
      </w:r>
      <w:r>
        <w:rPr>
          <w:iCs/>
          <w:i/>
        </w:rPr>
        <w:t xml:space="preserve"> </w:t>
      </w:r>
      <w:r>
        <w:rPr>
          <w:iCs/>
          <w:i/>
        </w:rPr>
        <w:t xml:space="preserve">Guide</w:t>
      </w:r>
      <w:r>
        <w:rPr>
          <w:iCs/>
          <w:i/>
        </w:rPr>
        <w:t xml:space="preserve"> </w:t>
      </w:r>
      <w:r>
        <w:rPr>
          <w:iCs/>
          <w:i/>
        </w:rPr>
        <w:t xml:space="preserve">for</w:t>
      </w:r>
      <w:r>
        <w:rPr>
          <w:iCs/>
          <w:i/>
        </w:rPr>
        <w:t xml:space="preserve"> </w:t>
      </w:r>
      <w:r>
        <w:rPr>
          <w:iCs/>
          <w:i/>
        </w:rPr>
        <w:t xml:space="preserve">Making</w:t>
      </w:r>
      <w:r>
        <w:rPr>
          <w:iCs/>
          <w:i/>
        </w:rPr>
        <w:t xml:space="preserve"> </w:t>
      </w:r>
      <w:r>
        <w:rPr>
          <w:iCs/>
          <w:i/>
        </w:rPr>
        <w:t xml:space="preserve">Black</w:t>
      </w:r>
      <w:r>
        <w:rPr>
          <w:iCs/>
          <w:i/>
        </w:rPr>
        <w:t xml:space="preserve"> </w:t>
      </w:r>
      <w:r>
        <w:rPr>
          <w:iCs/>
          <w:i/>
        </w:rPr>
        <w:t xml:space="preserve">Box</w:t>
      </w:r>
      <w:r>
        <w:rPr>
          <w:iCs/>
          <w:i/>
        </w:rPr>
        <w:t xml:space="preserve"> </w:t>
      </w:r>
      <w:r>
        <w:rPr>
          <w:iCs/>
          <w:i/>
        </w:rPr>
        <w:t xml:space="preserve">Models</w:t>
      </w:r>
      <w:r>
        <w:rPr>
          <w:iCs/>
          <w:i/>
        </w:rPr>
        <w:t xml:space="preserve"> </w:t>
      </w:r>
      <w:r>
        <w:rPr>
          <w:iCs/>
          <w:i/>
        </w:rPr>
        <w:t xml:space="preserve">Explainable</w:t>
      </w:r>
      <w:r>
        <w:t xml:space="preserve">.</w:t>
      </w:r>
    </w:p>
    <w:bookmarkEnd w:id="360"/>
    <w:bookmarkStart w:id="362" w:name="ref-mosqueira_efficacy_2010"/>
    <w:p>
      <w:pPr>
        <w:pStyle w:val="Bibliography"/>
      </w:pPr>
      <w:r>
        <w:t xml:space="preserve">Mosqueira, B., Chabi, J., Chandre, F., Akogbeto, M., Hougard, J.-M., Carnevale, P., &amp; Mas-Coma, S. (2010). Efficacy of an insecticide paint against malaria vectors and nuisance in</w:t>
      </w:r>
      <w:r>
        <w:t xml:space="preserve"> </w:t>
      </w:r>
      <w:r>
        <w:t xml:space="preserve">West</w:t>
      </w:r>
      <w:r>
        <w:t xml:space="preserve"> </w:t>
      </w:r>
      <w:r>
        <w:t xml:space="preserve">Africa</w:t>
      </w:r>
      <w:r>
        <w:t xml:space="preserve"> </w:t>
      </w:r>
      <w:r>
        <w:t xml:space="preserve">-</w:t>
      </w:r>
      <w:r>
        <w:t xml:space="preserve"> </w:t>
      </w:r>
      <w:r>
        <w:t xml:space="preserve">Part</w:t>
      </w:r>
      <w:r>
        <w:t xml:space="preserve"> </w:t>
      </w:r>
      <w:r>
        <w:t xml:space="preserve">2:</w:t>
      </w:r>
      <w:r>
        <w:t xml:space="preserve"> </w:t>
      </w:r>
      <w:r>
        <w:t xml:space="preserve">Field</w:t>
      </w:r>
      <w:r>
        <w:t xml:space="preserve"> </w:t>
      </w:r>
      <w:r>
        <w:t xml:space="preserve">evaluation.</w:t>
      </w:r>
      <w:r>
        <w:t xml:space="preserve"> </w:t>
      </w:r>
      <w:r>
        <w:rPr>
          <w:iCs/>
          <w:i/>
        </w:rPr>
        <w:t xml:space="preserve">Malaria Journal</w:t>
      </w:r>
      <w:r>
        <w:t xml:space="preserve">,</w:t>
      </w:r>
      <w:r>
        <w:t xml:space="preserve"> </w:t>
      </w:r>
      <w:r>
        <w:rPr>
          <w:iCs/>
          <w:i/>
        </w:rPr>
        <w:t xml:space="preserve">9</w:t>
      </w:r>
      <w:r>
        <w:t xml:space="preserve">(1), 341. http://doi.org/</w:t>
      </w:r>
      <w:hyperlink r:id="rId361">
        <w:r>
          <w:rPr>
            <w:rStyle w:val="Hyperlink"/>
          </w:rPr>
          <w:t xml:space="preserve">10.1186/1475-2875-9-341</w:t>
        </w:r>
      </w:hyperlink>
    </w:p>
    <w:bookmarkEnd w:id="362"/>
    <w:bookmarkStart w:id="364" w:name="ref-moyes_evaluating_2020"/>
    <w:p>
      <w:pPr>
        <w:pStyle w:val="Bibliography"/>
      </w:pPr>
      <w:r>
        <w:t xml:space="preserve">Moyes, C. L., Athinya, D. K., Seethaler, T., Battle, K. E., Sinka, M., Hadi, M. P., … Hancock, P. A. (2020). Evaluating insecticide resistance across</w:t>
      </w:r>
      <w:r>
        <w:t xml:space="preserve"> </w:t>
      </w:r>
      <w:r>
        <w:t xml:space="preserve">African</w:t>
      </w:r>
      <w:r>
        <w:t xml:space="preserve"> </w:t>
      </w:r>
      <w:r>
        <w:t xml:space="preserve">districts to aid malaria control decisions.</w:t>
      </w:r>
      <w:r>
        <w:t xml:space="preserve"> </w:t>
      </w:r>
      <w:r>
        <w:rPr>
          <w:iCs/>
          <w:i/>
        </w:rPr>
        <w:t xml:space="preserve">Proceedings of the National Academy of Sciences</w:t>
      </w:r>
      <w:r>
        <w:t xml:space="preserve">,</w:t>
      </w:r>
      <w:r>
        <w:t xml:space="preserve"> </w:t>
      </w:r>
      <w:r>
        <w:rPr>
          <w:iCs/>
          <w:i/>
        </w:rPr>
        <w:t xml:space="preserve">117</w:t>
      </w:r>
      <w:r>
        <w:t xml:space="preserve">(36), 22042–22050. http://doi.org/</w:t>
      </w:r>
      <w:hyperlink r:id="rId363">
        <w:r>
          <w:rPr>
            <w:rStyle w:val="Hyperlink"/>
          </w:rPr>
          <w:t xml:space="preserve">10.1073/pnas.2006781117</w:t>
        </w:r>
      </w:hyperlink>
    </w:p>
    <w:bookmarkEnd w:id="364"/>
    <w:bookmarkStart w:id="366" w:name="ref-murdoch_definitions_2019"/>
    <w:p>
      <w:pPr>
        <w:pStyle w:val="Bibliography"/>
      </w:pPr>
      <w:r>
        <w:t xml:space="preserve">Murdoch, W. J., Singh, C., Kumbier, K., Abbasi-Asl, R., &amp; Yu, B. (2019). Definitions, methods, and applications in interpretable machine learning.</w:t>
      </w:r>
      <w:r>
        <w:t xml:space="preserve"> </w:t>
      </w:r>
      <w:r>
        <w:rPr>
          <w:iCs/>
          <w:i/>
        </w:rPr>
        <w:t xml:space="preserve">Proceedings of the National Academy of Sciences</w:t>
      </w:r>
      <w:r>
        <w:t xml:space="preserve">,</w:t>
      </w:r>
      <w:r>
        <w:t xml:space="preserve"> </w:t>
      </w:r>
      <w:r>
        <w:rPr>
          <w:iCs/>
          <w:i/>
        </w:rPr>
        <w:t xml:space="preserve">116</w:t>
      </w:r>
      <w:r>
        <w:t xml:space="preserve">(44), 22071–22080. http://doi.org/</w:t>
      </w:r>
      <w:hyperlink r:id="rId365">
        <w:r>
          <w:rPr>
            <w:rStyle w:val="Hyperlink"/>
          </w:rPr>
          <w:t xml:space="preserve">10.1073/pnas.1900654116</w:t>
        </w:r>
      </w:hyperlink>
    </w:p>
    <w:bookmarkEnd w:id="366"/>
    <w:bookmarkStart w:id="368" w:name="ref-oreilly_modelling_2006"/>
    <w:p>
      <w:pPr>
        <w:pStyle w:val="Bibliography"/>
      </w:pPr>
      <w:r>
        <w:t xml:space="preserve">O’Reilly, A. O., Khambay, B. P. S., Williamson, M. S., Field, L. M., WAllace, B. A., &amp; Davies, T. G. E. (2006). Modelling insecticide-binding sites in the voltage-gated sodium channel.</w:t>
      </w:r>
      <w:r>
        <w:t xml:space="preserve"> </w:t>
      </w:r>
      <w:r>
        <w:rPr>
          <w:iCs/>
          <w:i/>
        </w:rPr>
        <w:t xml:space="preserve">Biochemical Journal</w:t>
      </w:r>
      <w:r>
        <w:t xml:space="preserve">,</w:t>
      </w:r>
      <w:r>
        <w:t xml:space="preserve"> </w:t>
      </w:r>
      <w:r>
        <w:rPr>
          <w:iCs/>
          <w:i/>
        </w:rPr>
        <w:t xml:space="preserve">396</w:t>
      </w:r>
      <w:r>
        <w:t xml:space="preserve">(2), 255–263. http://doi.org/</w:t>
      </w:r>
      <w:hyperlink r:id="rId367">
        <w:r>
          <w:rPr>
            <w:rStyle w:val="Hyperlink"/>
          </w:rPr>
          <w:t xml:space="preserve">10.1042/BJ20051925</w:t>
        </w:r>
      </w:hyperlink>
    </w:p>
    <w:bookmarkEnd w:id="368"/>
    <w:bookmarkStart w:id="369" w:name="ref-oss_landcover_bf"/>
    <w:p>
      <w:pPr>
        <w:pStyle w:val="Bibliography"/>
      </w:pPr>
      <w:r>
        <w:t xml:space="preserve">OSS. (2015). Burkina faso : Atlas des cartes d’occupation du sol» - projet amélioration de la résilience des populations sahéliennes aux mutations environnementales - REPSAHEL.</w:t>
      </w:r>
    </w:p>
    <w:bookmarkEnd w:id="369"/>
    <w:bookmarkStart w:id="371" w:name="ref-ouedraogo_efficacy_2015"/>
    <w:p>
      <w:pPr>
        <w:pStyle w:val="Bibliography"/>
      </w:pPr>
      <w:r>
        <w:t xml:space="preserve">Ouedraogo, A. L., Bastiaens, G. J. H., Tiono, A. B., Guelbeogo, W. M., Kobylinski, K. C., Ouedraogo, A., … Bousema, T. (2015). Efficacy and</w:t>
      </w:r>
      <w:r>
        <w:t xml:space="preserve"> </w:t>
      </w:r>
      <w:r>
        <w:t xml:space="preserve">Safety</w:t>
      </w:r>
      <w:r>
        <w:t xml:space="preserve"> </w:t>
      </w:r>
      <w:r>
        <w:t xml:space="preserve">of the</w:t>
      </w:r>
      <w:r>
        <w:t xml:space="preserve"> </w:t>
      </w:r>
      <w:r>
        <w:t xml:space="preserve">Mosquitocidal</w:t>
      </w:r>
      <w:r>
        <w:t xml:space="preserve"> </w:t>
      </w:r>
      <w:r>
        <w:t xml:space="preserve">Drug</w:t>
      </w:r>
      <w:r>
        <w:t xml:space="preserve"> </w:t>
      </w:r>
      <w:r>
        <w:t xml:space="preserve">Ivermectin</w:t>
      </w:r>
      <w:r>
        <w:t xml:space="preserve"> </w:t>
      </w:r>
      <w:r>
        <w:t xml:space="preserve">to</w:t>
      </w:r>
      <w:r>
        <w:t xml:space="preserve"> </w:t>
      </w:r>
      <w:r>
        <w:t xml:space="preserve">Prevent</w:t>
      </w:r>
      <w:r>
        <w:t xml:space="preserve"> </w:t>
      </w:r>
      <w:r>
        <w:t xml:space="preserve">Malaria</w:t>
      </w:r>
      <w:r>
        <w:t xml:space="preserve"> </w:t>
      </w:r>
      <w:r>
        <w:t xml:space="preserve">Transmission</w:t>
      </w:r>
      <w:r>
        <w:t xml:space="preserve"> </w:t>
      </w:r>
      <w:r>
        <w:t xml:space="preserve">After</w:t>
      </w:r>
      <w:r>
        <w:t xml:space="preserve"> </w:t>
      </w:r>
      <w:r>
        <w:t xml:space="preserve">Treatment</w:t>
      </w:r>
      <w:r>
        <w:t xml:space="preserve">:</w:t>
      </w:r>
      <w:r>
        <w:t xml:space="preserve"> </w:t>
      </w:r>
      <w:r>
        <w:t xml:space="preserve">A</w:t>
      </w:r>
      <w:r>
        <w:t xml:space="preserve"> </w:t>
      </w:r>
      <w:r>
        <w:t xml:space="preserve">Double</w:t>
      </w:r>
      <w:r>
        <w:t xml:space="preserve">-</w:t>
      </w:r>
      <w:r>
        <w:t xml:space="preserve">Blind</w:t>
      </w:r>
      <w:r>
        <w:t xml:space="preserve">,</w:t>
      </w:r>
      <w:r>
        <w:t xml:space="preserve"> </w:t>
      </w:r>
      <w:r>
        <w:t xml:space="preserve">Randomized</w:t>
      </w:r>
      <w:r>
        <w:t xml:space="preserve">,</w:t>
      </w:r>
      <w:r>
        <w:t xml:space="preserve"> </w:t>
      </w:r>
      <w:r>
        <w:t xml:space="preserve">Clinical</w:t>
      </w:r>
      <w:r>
        <w:t xml:space="preserve"> </w:t>
      </w:r>
      <w:r>
        <w:t xml:space="preserve">Trial</w:t>
      </w:r>
      <w:r>
        <w:t xml:space="preserve">.</w:t>
      </w:r>
      <w:r>
        <w:t xml:space="preserve"> </w:t>
      </w:r>
      <w:r>
        <w:rPr>
          <w:iCs/>
          <w:i/>
        </w:rPr>
        <w:t xml:space="preserve">Clinical Infectious Diseases</w:t>
      </w:r>
      <w:r>
        <w:t xml:space="preserve">,</w:t>
      </w:r>
      <w:r>
        <w:t xml:space="preserve"> </w:t>
      </w:r>
      <w:r>
        <w:rPr>
          <w:iCs/>
          <w:i/>
        </w:rPr>
        <w:t xml:space="preserve">60</w:t>
      </w:r>
      <w:r>
        <w:t xml:space="preserve">(3), 357–365. http://doi.org/</w:t>
      </w:r>
      <w:hyperlink r:id="rId370">
        <w:r>
          <w:rPr>
            <w:rStyle w:val="Hyperlink"/>
          </w:rPr>
          <w:t xml:space="preserve">10.1093/cid/ciu797</w:t>
        </w:r>
      </w:hyperlink>
    </w:p>
    <w:bookmarkEnd w:id="371"/>
    <w:bookmarkStart w:id="373" w:name="ref-parselia_satellite_2019"/>
    <w:p>
      <w:pPr>
        <w:pStyle w:val="Bibliography"/>
      </w:pPr>
      <w:r>
        <w:t xml:space="preserve">Parselia, E., Kontoes, C., Tsouni, A., Hadjichristodoulou, C., Kioutsioukis, I., Magiorkinis, G., &amp; Stilianakis, N. I. (2019). Satellite</w:t>
      </w:r>
      <w:r>
        <w:t xml:space="preserve"> </w:t>
      </w:r>
      <w:r>
        <w:t xml:space="preserve">Earth</w:t>
      </w:r>
      <w:r>
        <w:t xml:space="preserve"> </w:t>
      </w:r>
      <w:r>
        <w:t xml:space="preserve">Observation</w:t>
      </w:r>
      <w:r>
        <w:t xml:space="preserve"> </w:t>
      </w:r>
      <w:r>
        <w:t xml:space="preserve">Data</w:t>
      </w:r>
      <w:r>
        <w:t xml:space="preserve"> </w:t>
      </w:r>
      <w:r>
        <w:t xml:space="preserve">in</w:t>
      </w:r>
      <w:r>
        <w:t xml:space="preserve"> </w:t>
      </w:r>
      <w:r>
        <w:t xml:space="preserve">Epidemiological</w:t>
      </w:r>
      <w:r>
        <w:t xml:space="preserve"> </w:t>
      </w:r>
      <w:r>
        <w:t xml:space="preserve">Modeling</w:t>
      </w:r>
      <w:r>
        <w:t xml:space="preserve"> </w:t>
      </w:r>
      <w:r>
        <w:t xml:space="preserve">of</w:t>
      </w:r>
      <w:r>
        <w:t xml:space="preserve"> </w:t>
      </w:r>
      <w:r>
        <w:t xml:space="preserve">Malaria</w:t>
      </w:r>
      <w:r>
        <w:t xml:space="preserve">,</w:t>
      </w:r>
      <w:r>
        <w:t xml:space="preserve"> </w:t>
      </w:r>
      <w:r>
        <w:t xml:space="preserve">Dengue</w:t>
      </w:r>
      <w:r>
        <w:t xml:space="preserve"> </w:t>
      </w:r>
      <w:r>
        <w:t xml:space="preserve">and</w:t>
      </w:r>
      <w:r>
        <w:t xml:space="preserve"> </w:t>
      </w:r>
      <w:r>
        <w:t xml:space="preserve">West</w:t>
      </w:r>
      <w:r>
        <w:t xml:space="preserve"> </w:t>
      </w:r>
      <w:r>
        <w:t xml:space="preserve">Nile</w:t>
      </w:r>
      <w:r>
        <w:t xml:space="preserve"> </w:t>
      </w:r>
      <w:r>
        <w:t xml:space="preserve">Virus</w:t>
      </w:r>
      <w:r>
        <w:t xml:space="preserve">:</w:t>
      </w:r>
      <w:r>
        <w:t xml:space="preserve"> </w:t>
      </w:r>
      <w:r>
        <w:t xml:space="preserve">A</w:t>
      </w:r>
      <w:r>
        <w:t xml:space="preserve"> </w:t>
      </w:r>
      <w:r>
        <w:t xml:space="preserve">Scoping</w:t>
      </w:r>
      <w:r>
        <w:t xml:space="preserve"> </w:t>
      </w:r>
      <w:r>
        <w:t xml:space="preserve">Review</w:t>
      </w:r>
      <w:r>
        <w:t xml:space="preserve">.</w:t>
      </w:r>
      <w:r>
        <w:t xml:space="preserve"> </w:t>
      </w:r>
      <w:r>
        <w:rPr>
          <w:iCs/>
          <w:i/>
        </w:rPr>
        <w:t xml:space="preserve">Remote Sensing</w:t>
      </w:r>
      <w:r>
        <w:t xml:space="preserve">,</w:t>
      </w:r>
      <w:r>
        <w:t xml:space="preserve"> </w:t>
      </w:r>
      <w:r>
        <w:rPr>
          <w:iCs/>
          <w:i/>
        </w:rPr>
        <w:t xml:space="preserve">11</w:t>
      </w:r>
      <w:r>
        <w:t xml:space="preserve">(16), 1862. http://doi.org/</w:t>
      </w:r>
      <w:hyperlink r:id="rId372">
        <w:r>
          <w:rPr>
            <w:rStyle w:val="Hyperlink"/>
          </w:rPr>
          <w:t xml:space="preserve">10.3390/rs11161862</w:t>
        </w:r>
      </w:hyperlink>
    </w:p>
    <w:bookmarkEnd w:id="373"/>
    <w:bookmarkStart w:id="375" w:name="ref-pebesma_simple_2018"/>
    <w:p>
      <w:pPr>
        <w:pStyle w:val="Bibliography"/>
      </w:pPr>
      <w:r>
        <w:t xml:space="preserve">Pebesma, E. (2018). Simple</w:t>
      </w:r>
      <w:r>
        <w:t xml:space="preserve"> </w:t>
      </w:r>
      <w:r>
        <w:t xml:space="preserve">Features</w:t>
      </w:r>
      <w:r>
        <w:t xml:space="preserve"> </w:t>
      </w:r>
      <w:r>
        <w:t xml:space="preserve">for</w:t>
      </w:r>
      <w:r>
        <w:t xml:space="preserve"> </w:t>
      </w:r>
      <w:r>
        <w:t xml:space="preserve">R</w:t>
      </w:r>
      <w:r>
        <w:t xml:space="preserve">:</w:t>
      </w:r>
      <w:r>
        <w:t xml:space="preserve"> </w:t>
      </w:r>
      <w:r>
        <w:t xml:space="preserve">Standardized</w:t>
      </w:r>
      <w:r>
        <w:t xml:space="preserve"> </w:t>
      </w:r>
      <w:r>
        <w:t xml:space="preserve">Support</w:t>
      </w:r>
      <w:r>
        <w:t xml:space="preserve"> </w:t>
      </w:r>
      <w:r>
        <w:t xml:space="preserve">for</w:t>
      </w:r>
      <w:r>
        <w:t xml:space="preserve"> </w:t>
      </w:r>
      <w:r>
        <w:t xml:space="preserve">Spatial</w:t>
      </w:r>
      <w:r>
        <w:t xml:space="preserve"> </w:t>
      </w:r>
      <w:r>
        <w:t xml:space="preserve">Vector</w:t>
      </w:r>
      <w:r>
        <w:t xml:space="preserve"> </w:t>
      </w:r>
      <w:r>
        <w:t xml:space="preserve">Data</w:t>
      </w:r>
      <w:r>
        <w:t xml:space="preserve">.</w:t>
      </w:r>
      <w:r>
        <w:t xml:space="preserve"> </w:t>
      </w:r>
      <w:r>
        <w:rPr>
          <w:iCs/>
          <w:i/>
        </w:rPr>
        <w:t xml:space="preserve">The R Journal</w:t>
      </w:r>
      <w:r>
        <w:t xml:space="preserve">,</w:t>
      </w:r>
      <w:r>
        <w:t xml:space="preserve"> </w:t>
      </w:r>
      <w:r>
        <w:rPr>
          <w:iCs/>
          <w:i/>
        </w:rPr>
        <w:t xml:space="preserve">10</w:t>
      </w:r>
      <w:r>
        <w:t xml:space="preserve">(1), 439–446. http://doi.org/</w:t>
      </w:r>
      <w:hyperlink r:id="rId374">
        <w:r>
          <w:rPr>
            <w:rStyle w:val="Hyperlink"/>
          </w:rPr>
          <w:t xml:space="preserve">10.32614/RJ-2018-009</w:t>
        </w:r>
      </w:hyperlink>
    </w:p>
    <w:bookmarkEnd w:id="375"/>
    <w:bookmarkStart w:id="376" w:name="ref-PNLP_BF"/>
    <w:p>
      <w:pPr>
        <w:pStyle w:val="Bibliography"/>
      </w:pPr>
      <w:r>
        <w:t xml:space="preserve">PNLP. (2014a). Directives nationales pour la prise en charge du paludisme dans les formations sanitaires du burkina faso. Ministère de la santé/burkina faso.</w:t>
      </w:r>
    </w:p>
    <w:bookmarkEnd w:id="376"/>
    <w:bookmarkStart w:id="377" w:name="ref-PNLP_CI"/>
    <w:p>
      <w:pPr>
        <w:pStyle w:val="Bibliography"/>
      </w:pPr>
      <w:r>
        <w:t xml:space="preserve">PNLP. (2014b). Programme national de lutte contre le paludisme en côte d’ivoire. 2014. Plan stratégique national de lutte contre le paludisme 2012–2015 (période replanifiée 2014–2017). Approche stratifiée de mise à l’échelle des interventions de lutte contre le paludisme en côte d’ivoire et consolidation des acquis. Abidjan: Ministère de la santé et l’hygiène publique. 149 p.</w:t>
      </w:r>
    </w:p>
    <w:bookmarkEnd w:id="377"/>
    <w:bookmarkStart w:id="379" w:name="ref-qgis_development_team_qgis_2021"/>
    <w:p>
      <w:pPr>
        <w:pStyle w:val="Bibliography"/>
      </w:pPr>
      <w:r>
        <w:t xml:space="preserve">QGIS Development Team. (2021).</w:t>
      </w:r>
      <w:r>
        <w:t xml:space="preserve"> </w:t>
      </w:r>
      <w:r>
        <w:rPr>
          <w:iCs/>
          <w:i/>
        </w:rPr>
        <w:t xml:space="preserve">QGIS</w:t>
      </w:r>
      <w:r>
        <w:rPr>
          <w:iCs/>
          <w:i/>
        </w:rPr>
        <w:t xml:space="preserve"> </w:t>
      </w:r>
      <w:r>
        <w:rPr>
          <w:iCs/>
          <w:i/>
        </w:rPr>
        <w:t xml:space="preserve">Geographic</w:t>
      </w:r>
      <w:r>
        <w:rPr>
          <w:iCs/>
          <w:i/>
        </w:rPr>
        <w:t xml:space="preserve"> </w:t>
      </w:r>
      <w:r>
        <w:rPr>
          <w:iCs/>
          <w:i/>
        </w:rPr>
        <w:t xml:space="preserve">Information</w:t>
      </w:r>
      <w:r>
        <w:rPr>
          <w:iCs/>
          <w:i/>
        </w:rPr>
        <w:t xml:space="preserve"> </w:t>
      </w:r>
      <w:r>
        <w:rPr>
          <w:iCs/>
          <w:i/>
        </w:rPr>
        <w:t xml:space="preserve">System</w:t>
      </w:r>
      <w:r>
        <w:t xml:space="preserve">. QGIS Association. Retrieved from</w:t>
      </w:r>
      <w:r>
        <w:t xml:space="preserve"> </w:t>
      </w:r>
      <w:hyperlink r:id="rId378">
        <w:r>
          <w:rPr>
            <w:rStyle w:val="Hyperlink"/>
          </w:rPr>
          <w:t xml:space="preserve">https://www.qgis.org</w:t>
        </w:r>
      </w:hyperlink>
    </w:p>
    <w:bookmarkEnd w:id="379"/>
    <w:bookmarkStart w:id="381" w:name="ref-r_core_team_r_2018"/>
    <w:p>
      <w:pPr>
        <w:pStyle w:val="Bibliography"/>
      </w:pPr>
      <w:r>
        <w:t xml:space="preserve">R Core Team. (2018).</w:t>
      </w:r>
      <w:r>
        <w:t xml:space="preserve"> </w:t>
      </w:r>
      <w:r>
        <w:rPr>
          <w:iCs/>
          <w:i/>
        </w:rPr>
        <w:t xml:space="preserve">R:</w:t>
      </w:r>
      <w:r>
        <w:rPr>
          <w:iCs/>
          <w:i/>
        </w:rPr>
        <w:t xml:space="preserve"> </w:t>
      </w:r>
      <w:r>
        <w:rPr>
          <w:iCs/>
          <w:i/>
        </w:rPr>
        <w:t xml:space="preserve">A</w:t>
      </w:r>
      <w:r>
        <w:rPr>
          <w:iCs/>
          <w:i/>
        </w:rPr>
        <w:t xml:space="preserve"> </w:t>
      </w:r>
      <w:r>
        <w:rPr>
          <w:iCs/>
          <w:i/>
        </w:rPr>
        <w:t xml:space="preserve">Language</w:t>
      </w:r>
      <w:r>
        <w:rPr>
          <w:iCs/>
          <w:i/>
        </w:rPr>
        <w:t xml:space="preserve"> </w:t>
      </w:r>
      <w:r>
        <w:rPr>
          <w:iCs/>
          <w:i/>
        </w:rPr>
        <w:t xml:space="preserve">and</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Statistical</w:t>
      </w:r>
      <w:r>
        <w:rPr>
          <w:iCs/>
          <w:i/>
        </w:rPr>
        <w:t xml:space="preserve"> </w:t>
      </w:r>
      <w:r>
        <w:rPr>
          <w:iCs/>
          <w:i/>
        </w:rPr>
        <w:t xml:space="preserve">Computing</w:t>
      </w:r>
      <w:r>
        <w:t xml:space="preserve">. Vienna, Austria: R Foundation for Statistical Computing. Retrieved from</w:t>
      </w:r>
      <w:r>
        <w:t xml:space="preserve"> </w:t>
      </w:r>
      <w:hyperlink r:id="rId380">
        <w:r>
          <w:rPr>
            <w:rStyle w:val="Hyperlink"/>
          </w:rPr>
          <w:t xml:space="preserve">https://www.R-project.org/</w:t>
        </w:r>
      </w:hyperlink>
    </w:p>
    <w:bookmarkEnd w:id="381"/>
    <w:bookmarkStart w:id="383" w:name="ref-ranson_identification_2000"/>
    <w:p>
      <w:pPr>
        <w:pStyle w:val="Bibliography"/>
      </w:pPr>
      <w:r>
        <w:t xml:space="preserve">Ranson, H., Jensen, B., Vulule, J. M., Wang, X., Hemingway, J., &amp; Collins, F. H. (2000). Identification of a point mutation in the voltage-gated sodium channel gene of</w:t>
      </w:r>
      <w:r>
        <w:t xml:space="preserve"> </w:t>
      </w:r>
      <w:r>
        <w:t xml:space="preserve">Kenyan</w:t>
      </w:r>
      <w:r>
        <w:t xml:space="preserve"> </w:t>
      </w:r>
      <w:r>
        <w:t xml:space="preserve">Anopheles</w:t>
      </w:r>
      <w:r>
        <w:t xml:space="preserve"> </w:t>
      </w:r>
      <w:r>
        <w:t xml:space="preserve">gambiae associated with resistance to</w:t>
      </w:r>
      <w:r>
        <w:t xml:space="preserve"> </w:t>
      </w:r>
      <w:r>
        <w:t xml:space="preserve">DDT</w:t>
      </w:r>
      <w:r>
        <w:t xml:space="preserve"> </w:t>
      </w:r>
      <w:r>
        <w:t xml:space="preserve">and pyrethroids.</w:t>
      </w:r>
      <w:r>
        <w:t xml:space="preserve"> </w:t>
      </w:r>
      <w:r>
        <w:rPr>
          <w:iCs/>
          <w:i/>
        </w:rPr>
        <w:t xml:space="preserve">Insect Molecular Biology</w:t>
      </w:r>
      <w:r>
        <w:t xml:space="preserve">,</w:t>
      </w:r>
      <w:r>
        <w:t xml:space="preserve"> </w:t>
      </w:r>
      <w:r>
        <w:rPr>
          <w:iCs/>
          <w:i/>
        </w:rPr>
        <w:t xml:space="preserve">9</w:t>
      </w:r>
      <w:r>
        <w:t xml:space="preserve">(5), 491–497. http://doi.org/</w:t>
      </w:r>
      <w:hyperlink r:id="rId382">
        <w:r>
          <w:rPr>
            <w:rStyle w:val="Hyperlink"/>
          </w:rPr>
          <w:t xml:space="preserve">10.1046/j.1365-2583.2000.00209.x</w:t>
        </w:r>
      </w:hyperlink>
    </w:p>
    <w:bookmarkEnd w:id="383"/>
    <w:bookmarkStart w:id="385" w:name="ref-reisen_landscape_2010"/>
    <w:p>
      <w:pPr>
        <w:pStyle w:val="Bibliography"/>
      </w:pPr>
      <w:r>
        <w:t xml:space="preserve">Reisen, W. K. (2010). Landscape</w:t>
      </w:r>
      <w:r>
        <w:t xml:space="preserve"> </w:t>
      </w:r>
      <w:r>
        <w:t xml:space="preserve">Epidemiology</w:t>
      </w:r>
      <w:r>
        <w:t xml:space="preserve"> </w:t>
      </w:r>
      <w:r>
        <w:t xml:space="preserve">of</w:t>
      </w:r>
      <w:r>
        <w:t xml:space="preserve"> </w:t>
      </w:r>
      <w:r>
        <w:t xml:space="preserve">Vector</w:t>
      </w:r>
      <w:r>
        <w:t xml:space="preserve">-</w:t>
      </w:r>
      <w:r>
        <w:t xml:space="preserve">Borne</w:t>
      </w:r>
      <w:r>
        <w:t xml:space="preserve"> </w:t>
      </w:r>
      <w:r>
        <w:t xml:space="preserve">Diseases</w:t>
      </w:r>
      <w:r>
        <w:t xml:space="preserve">.</w:t>
      </w:r>
      <w:r>
        <w:t xml:space="preserve"> </w:t>
      </w:r>
      <w:r>
        <w:rPr>
          <w:iCs/>
          <w:i/>
        </w:rPr>
        <w:t xml:space="preserve">Annual Review of Entomology</w:t>
      </w:r>
      <w:r>
        <w:t xml:space="preserve">,</w:t>
      </w:r>
      <w:r>
        <w:t xml:space="preserve"> </w:t>
      </w:r>
      <w:r>
        <w:rPr>
          <w:iCs/>
          <w:i/>
        </w:rPr>
        <w:t xml:space="preserve">55</w:t>
      </w:r>
      <w:r>
        <w:t xml:space="preserve">(1), 461–483. http://doi.org/</w:t>
      </w:r>
      <w:hyperlink r:id="rId384">
        <w:r>
          <w:rPr>
            <w:rStyle w:val="Hyperlink"/>
          </w:rPr>
          <w:t xml:space="preserve">10.1146/annurev-ento-112408-085419</w:t>
        </w:r>
      </w:hyperlink>
    </w:p>
    <w:bookmarkEnd w:id="385"/>
    <w:bookmarkStart w:id="387" w:name="ref-riveron_insecticide_2018"/>
    <w:p>
      <w:pPr>
        <w:pStyle w:val="Bibliography"/>
      </w:pPr>
      <w:r>
        <w:t xml:space="preserve">Riveron, J. M., Tchouakui, M., Mugenzi, L., Menze, B. D., Chiang, M.-C., &amp; Wondji, C. S. (2018). Insecticide</w:t>
      </w:r>
      <w:r>
        <w:t xml:space="preserve"> </w:t>
      </w:r>
      <w:r>
        <w:t xml:space="preserve">Resistance</w:t>
      </w:r>
      <w:r>
        <w:t xml:space="preserve"> </w:t>
      </w:r>
      <w:r>
        <w:t xml:space="preserve">in</w:t>
      </w:r>
      <w:r>
        <w:t xml:space="preserve"> </w:t>
      </w:r>
      <w:r>
        <w:t xml:space="preserve">Malaria</w:t>
      </w:r>
      <w:r>
        <w:t xml:space="preserve"> </w:t>
      </w:r>
      <w:r>
        <w:t xml:space="preserve">Vectors</w:t>
      </w:r>
      <w:r>
        <w:t xml:space="preserve">:</w:t>
      </w:r>
      <w:r>
        <w:t xml:space="preserve"> </w:t>
      </w:r>
      <w:r>
        <w:t xml:space="preserve">An</w:t>
      </w:r>
      <w:r>
        <w:t xml:space="preserve"> </w:t>
      </w:r>
      <w:r>
        <w:t xml:space="preserve">Update</w:t>
      </w:r>
      <w:r>
        <w:t xml:space="preserve"> </w:t>
      </w:r>
      <w:r>
        <w:t xml:space="preserve">at a</w:t>
      </w:r>
      <w:r>
        <w:t xml:space="preserve"> </w:t>
      </w:r>
      <w:r>
        <w:t xml:space="preserve">Global</w:t>
      </w:r>
      <w:r>
        <w:t xml:space="preserve"> </w:t>
      </w:r>
      <w:r>
        <w:t xml:space="preserve">Scale</w:t>
      </w:r>
      <w:r>
        <w:t xml:space="preserve">. In S. Manguin &amp; V. Dev (Eds.),</w:t>
      </w:r>
      <w:r>
        <w:t xml:space="preserve"> </w:t>
      </w:r>
      <w:r>
        <w:rPr>
          <w:iCs/>
          <w:i/>
        </w:rPr>
        <w:t xml:space="preserve">Towards</w:t>
      </w:r>
      <w:r>
        <w:rPr>
          <w:iCs/>
          <w:i/>
        </w:rPr>
        <w:t xml:space="preserve"> </w:t>
      </w:r>
      <w:r>
        <w:rPr>
          <w:iCs/>
          <w:i/>
        </w:rPr>
        <w:t xml:space="preserve">Malaria</w:t>
      </w:r>
      <w:r>
        <w:rPr>
          <w:iCs/>
          <w:i/>
        </w:rPr>
        <w:t xml:space="preserve"> </w:t>
      </w:r>
      <w:r>
        <w:rPr>
          <w:iCs/>
          <w:i/>
        </w:rPr>
        <w:t xml:space="preserve">Elimination</w:t>
      </w:r>
      <w:r>
        <w:rPr>
          <w:iCs/>
          <w:i/>
        </w:rPr>
        <w:t xml:space="preserve"> </w:t>
      </w:r>
      <w:r>
        <w:rPr>
          <w:iCs/>
          <w:i/>
        </w:rPr>
        <w:t xml:space="preserve">-</w:t>
      </w:r>
      <w:r>
        <w:rPr>
          <w:iCs/>
          <w:i/>
        </w:rPr>
        <w:t xml:space="preserve"> </w:t>
      </w:r>
      <w:r>
        <w:rPr>
          <w:iCs/>
          <w:i/>
        </w:rPr>
        <w:t xml:space="preserve">A</w:t>
      </w:r>
      <w:r>
        <w:rPr>
          <w:iCs/>
          <w:i/>
        </w:rPr>
        <w:t xml:space="preserve"> </w:t>
      </w:r>
      <w:r>
        <w:rPr>
          <w:iCs/>
          <w:i/>
        </w:rPr>
        <w:t xml:space="preserve">Leap</w:t>
      </w:r>
      <w:r>
        <w:rPr>
          <w:iCs/>
          <w:i/>
        </w:rPr>
        <w:t xml:space="preserve"> </w:t>
      </w:r>
      <w:r>
        <w:rPr>
          <w:iCs/>
          <w:i/>
        </w:rPr>
        <w:t xml:space="preserve">Forward</w:t>
      </w:r>
      <w:r>
        <w:t xml:space="preserve">. InTech. http://doi.org/</w:t>
      </w:r>
      <w:hyperlink r:id="rId386">
        <w:r>
          <w:rPr>
            <w:rStyle w:val="Hyperlink"/>
          </w:rPr>
          <w:t xml:space="preserve">10.5772/intechopen.78375</w:t>
        </w:r>
      </w:hyperlink>
    </w:p>
    <w:bookmarkEnd w:id="387"/>
    <w:bookmarkStart w:id="389" w:name="ref-rodhain_microbe_2015"/>
    <w:p>
      <w:pPr>
        <w:pStyle w:val="Bibliography"/>
      </w:pPr>
      <w:r>
        <w:t xml:space="preserve">Rodhain, F. (2015). Le microbe, l’insecte, l’homme et les autres... : Le monde des maladies à vecteurs.</w:t>
      </w:r>
      <w:r>
        <w:t xml:space="preserve"> </w:t>
      </w:r>
      <w:r>
        <w:rPr>
          <w:iCs/>
          <w:i/>
        </w:rPr>
        <w:t xml:space="preserve">Bulletin de l’Académie Vétérinaire de France</w:t>
      </w:r>
      <w:r>
        <w:t xml:space="preserve">,</w:t>
      </w:r>
      <w:r>
        <w:t xml:space="preserve"> </w:t>
      </w:r>
      <w:r>
        <w:rPr>
          <w:iCs/>
          <w:i/>
        </w:rPr>
        <w:t xml:space="preserve">168</w:t>
      </w:r>
      <w:r>
        <w:t xml:space="preserve">(1), 5–11. http://doi.org/</w:t>
      </w:r>
      <w:hyperlink r:id="rId388">
        <w:r>
          <w:rPr>
            <w:rStyle w:val="Hyperlink"/>
          </w:rPr>
          <w:t xml:space="preserve">10.4267/2042/56539</w:t>
        </w:r>
      </w:hyperlink>
    </w:p>
    <w:bookmarkEnd w:id="389"/>
    <w:bookmarkStart w:id="391" w:name="ref-rstudio_team_rstudio_2020"/>
    <w:p>
      <w:pPr>
        <w:pStyle w:val="Bibliography"/>
      </w:pPr>
      <w:r>
        <w:t xml:space="preserve">RStudio Team. (2020).</w:t>
      </w:r>
      <w:r>
        <w:t xml:space="preserve"> </w:t>
      </w:r>
      <w:r>
        <w:rPr>
          <w:iCs/>
          <w:i/>
        </w:rPr>
        <w:t xml:space="preserve">RStudio</w:t>
      </w:r>
      <w:r>
        <w:rPr>
          <w:iCs/>
          <w:i/>
        </w:rPr>
        <w:t xml:space="preserve">:</w:t>
      </w:r>
      <w:r>
        <w:rPr>
          <w:iCs/>
          <w:i/>
        </w:rPr>
        <w:t xml:space="preserve"> </w:t>
      </w:r>
      <w:r>
        <w:rPr>
          <w:iCs/>
          <w:i/>
        </w:rPr>
        <w:t xml:space="preserve">Integrated</w:t>
      </w:r>
      <w:r>
        <w:rPr>
          <w:iCs/>
          <w:i/>
        </w:rPr>
        <w:t xml:space="preserve"> </w:t>
      </w:r>
      <w:r>
        <w:rPr>
          <w:iCs/>
          <w:i/>
        </w:rPr>
        <w:t xml:space="preserve">Development</w:t>
      </w:r>
      <w:r>
        <w:rPr>
          <w:iCs/>
          <w:i/>
        </w:rPr>
        <w:t xml:space="preserve"> </w:t>
      </w:r>
      <w:r>
        <w:rPr>
          <w:iCs/>
          <w:i/>
        </w:rPr>
        <w:t xml:space="preserve">Environment</w:t>
      </w:r>
      <w:r>
        <w:rPr>
          <w:iCs/>
          <w:i/>
        </w:rPr>
        <w:t xml:space="preserve"> </w:t>
      </w:r>
      <w:r>
        <w:rPr>
          <w:iCs/>
          <w:i/>
        </w:rPr>
        <w:t xml:space="preserve">for</w:t>
      </w:r>
      <w:r>
        <w:rPr>
          <w:iCs/>
          <w:i/>
        </w:rPr>
        <w:t xml:space="preserve"> </w:t>
      </w:r>
      <w:r>
        <w:rPr>
          <w:iCs/>
          <w:i/>
        </w:rPr>
        <w:t xml:space="preserve">R</w:t>
      </w:r>
      <w:r>
        <w:t xml:space="preserve">. Boston, MA: RStudio, PBC. Retrieved from</w:t>
      </w:r>
      <w:r>
        <w:t xml:space="preserve"> </w:t>
      </w:r>
      <w:hyperlink r:id="rId390">
        <w:r>
          <w:rPr>
            <w:rStyle w:val="Hyperlink"/>
          </w:rPr>
          <w:t xml:space="preserve">http://www.rstudio.com/</w:t>
        </w:r>
      </w:hyperlink>
    </w:p>
    <w:bookmarkEnd w:id="391"/>
    <w:bookmarkStart w:id="393" w:name="ref-russell_increased_2011"/>
    <w:p>
      <w:pPr>
        <w:pStyle w:val="Bibliography"/>
      </w:pPr>
      <w:r>
        <w:t xml:space="preserve">Russell, T. L., Govella, N. J., Azizi, S., Drakeley, C. J., Kachur, S. P., &amp; Killeen, G. F. (2011). Increased proportions of outdoor feeding among residual malaria vector populations following increased use of insecticide-treated nets in rural</w:t>
      </w:r>
      <w:r>
        <w:t xml:space="preserve"> </w:t>
      </w:r>
      <w:r>
        <w:t xml:space="preserve">Tanzania</w:t>
      </w:r>
      <w:r>
        <w:t xml:space="preserve">.</w:t>
      </w:r>
      <w:r>
        <w:t xml:space="preserve"> </w:t>
      </w:r>
      <w:r>
        <w:rPr>
          <w:iCs/>
          <w:i/>
        </w:rPr>
        <w:t xml:space="preserve">Malaria Journal</w:t>
      </w:r>
      <w:r>
        <w:t xml:space="preserve">,</w:t>
      </w:r>
      <w:r>
        <w:t xml:space="preserve"> </w:t>
      </w:r>
      <w:r>
        <w:rPr>
          <w:iCs/>
          <w:i/>
        </w:rPr>
        <w:t xml:space="preserve">10</w:t>
      </w:r>
      <w:r>
        <w:t xml:space="preserve">(1). http://doi.org/</w:t>
      </w:r>
      <w:hyperlink r:id="rId392">
        <w:r>
          <w:rPr>
            <w:rStyle w:val="Hyperlink"/>
          </w:rPr>
          <w:t xml:space="preserve">10.1186/1475-2875-10-80</w:t>
        </w:r>
      </w:hyperlink>
    </w:p>
    <w:bookmarkEnd w:id="393"/>
    <w:bookmarkStart w:id="395" w:name="ref-Silver2008"/>
    <w:p>
      <w:pPr>
        <w:pStyle w:val="Bibliography"/>
      </w:pPr>
      <w:r>
        <w:t xml:space="preserve">Sampling adults by animal bait catches and by animal-baited traps. (2008). In</w:t>
      </w:r>
      <w:r>
        <w:t xml:space="preserve"> </w:t>
      </w:r>
      <w:r>
        <w:rPr>
          <w:iCs/>
          <w:i/>
        </w:rPr>
        <w:t xml:space="preserve">Mosquito ecology: Field sampling methods</w:t>
      </w:r>
      <w:r>
        <w:t xml:space="preserve"> </w:t>
      </w:r>
      <w:r>
        <w:t xml:space="preserve">(pp. 493–675). Dordrecht: Springer Netherlands. http://doi.org/</w:t>
      </w:r>
      <w:hyperlink r:id="rId394">
        <w:r>
          <w:rPr>
            <w:rStyle w:val="Hyperlink"/>
          </w:rPr>
          <w:t xml:space="preserve">10.1007/978-1-4020-6666-5_6</w:t>
        </w:r>
      </w:hyperlink>
    </w:p>
    <w:bookmarkEnd w:id="395"/>
    <w:bookmarkStart w:id="397" w:name="ref-shapiro_quantifying_2017"/>
    <w:p>
      <w:pPr>
        <w:pStyle w:val="Bibliography"/>
      </w:pPr>
      <w:r>
        <w:t xml:space="preserve">Shapiro, L. L. M., Whitehead, S. A., &amp; Thomas, M. B. (2017). Quantifying the effects of temperature on mosquito and parasite traits that determine the transmission potential of human malaria.</w:t>
      </w:r>
      <w:r>
        <w:t xml:space="preserve"> </w:t>
      </w:r>
      <w:r>
        <w:rPr>
          <w:iCs/>
          <w:i/>
        </w:rPr>
        <w:t xml:space="preserve">PLoS Biology</w:t>
      </w:r>
      <w:r>
        <w:t xml:space="preserve">,</w:t>
      </w:r>
      <w:r>
        <w:t xml:space="preserve"> </w:t>
      </w:r>
      <w:r>
        <w:rPr>
          <w:iCs/>
          <w:i/>
        </w:rPr>
        <w:t xml:space="preserve">15</w:t>
      </w:r>
      <w:r>
        <w:t xml:space="preserve">(10). http://doi.org/</w:t>
      </w:r>
      <w:hyperlink r:id="rId396">
        <w:r>
          <w:rPr>
            <w:rStyle w:val="Hyperlink"/>
          </w:rPr>
          <w:t xml:space="preserve">10.1371/journal.pbio.2003489</w:t>
        </w:r>
      </w:hyperlink>
    </w:p>
    <w:bookmarkEnd w:id="397"/>
    <w:bookmarkStart w:id="399" w:name="ref-sherrard-smith_mosquito_2019"/>
    <w:p>
      <w:pPr>
        <w:pStyle w:val="Bibliography"/>
      </w:pPr>
      <w:r>
        <w:t xml:space="preserve">Sherrard-Smith, E., Skarp, J. E., Beale, A. D., Fornadel, C., Norris, L. C., Moore, S. J., … Churcher, T. S. (2019). Mosquito feeding behavior and how it influences residual malaria transmission across</w:t>
      </w:r>
      <w:r>
        <w:t xml:space="preserve"> </w:t>
      </w:r>
      <w:r>
        <w:t xml:space="preserve">Africa</w:t>
      </w:r>
      <w:r>
        <w:t xml:space="preserve">.</w:t>
      </w:r>
      <w:r>
        <w:t xml:space="preserve"> </w:t>
      </w:r>
      <w:r>
        <w:rPr>
          <w:iCs/>
          <w:i/>
        </w:rPr>
        <w:t xml:space="preserve">Proceedings of the National Academy of Sciences</w:t>
      </w:r>
      <w:r>
        <w:t xml:space="preserve">,</w:t>
      </w:r>
      <w:r>
        <w:t xml:space="preserve"> </w:t>
      </w:r>
      <w:r>
        <w:rPr>
          <w:iCs/>
          <w:i/>
        </w:rPr>
        <w:t xml:space="preserve">116</w:t>
      </w:r>
      <w:r>
        <w:t xml:space="preserve">(30), 15086–15095. http://doi.org/</w:t>
      </w:r>
      <w:hyperlink r:id="rId398">
        <w:r>
          <w:rPr>
            <w:rStyle w:val="Hyperlink"/>
          </w:rPr>
          <w:t xml:space="preserve">10.1073/pnas.1820646116</w:t>
        </w:r>
      </w:hyperlink>
    </w:p>
    <w:bookmarkEnd w:id="399"/>
    <w:bookmarkStart w:id="401" w:name="ref-shmueli_explain_2010"/>
    <w:p>
      <w:pPr>
        <w:pStyle w:val="Bibliography"/>
      </w:pPr>
      <w:r>
        <w:t xml:space="preserve">Shmueli, G. (2010). To</w:t>
      </w:r>
      <w:r>
        <w:t xml:space="preserve"> </w:t>
      </w:r>
      <w:r>
        <w:t xml:space="preserve">Explain</w:t>
      </w:r>
      <w:r>
        <w:t xml:space="preserve"> </w:t>
      </w:r>
      <w:r>
        <w:t xml:space="preserve">or to</w:t>
      </w:r>
      <w:r>
        <w:t xml:space="preserve"> </w:t>
      </w:r>
      <w:r>
        <w:t xml:space="preserve">Predict</w:t>
      </w:r>
      <w:r>
        <w:t xml:space="preserve">?</w:t>
      </w:r>
      <w:r>
        <w:t xml:space="preserve"> </w:t>
      </w:r>
      <w:r>
        <w:rPr>
          <w:iCs/>
          <w:i/>
        </w:rPr>
        <w:t xml:space="preserve">Statistical Science</w:t>
      </w:r>
      <w:r>
        <w:t xml:space="preserve">,</w:t>
      </w:r>
      <w:r>
        <w:t xml:space="preserve"> </w:t>
      </w:r>
      <w:r>
        <w:rPr>
          <w:iCs/>
          <w:i/>
        </w:rPr>
        <w:t xml:space="preserve">25</w:t>
      </w:r>
      <w:r>
        <w:t xml:space="preserve">(3), 289–310. http://doi.org/</w:t>
      </w:r>
      <w:hyperlink r:id="rId400">
        <w:r>
          <w:rPr>
            <w:rStyle w:val="Hyperlink"/>
          </w:rPr>
          <w:t xml:space="preserve">10.1214/10-STS330</w:t>
        </w:r>
      </w:hyperlink>
    </w:p>
    <w:bookmarkEnd w:id="401"/>
    <w:bookmarkStart w:id="403" w:name="ref-shmueli_predictive_2010"/>
    <w:p>
      <w:pPr>
        <w:pStyle w:val="Bibliography"/>
      </w:pPr>
      <w:r>
        <w:t xml:space="preserve">Shmueli, G., &amp; Koppius, O. (2010). Predictive</w:t>
      </w:r>
      <w:r>
        <w:t xml:space="preserve"> </w:t>
      </w:r>
      <w:r>
        <w:t xml:space="preserve">Analytics</w:t>
      </w:r>
      <w:r>
        <w:t xml:space="preserve"> </w:t>
      </w:r>
      <w:r>
        <w:t xml:space="preserve">in</w:t>
      </w:r>
      <w:r>
        <w:t xml:space="preserve"> </w:t>
      </w:r>
      <w:r>
        <w:t xml:space="preserve">Information</w:t>
      </w:r>
      <w:r>
        <w:t xml:space="preserve"> </w:t>
      </w:r>
      <w:r>
        <w:t xml:space="preserve">Systems</w:t>
      </w:r>
      <w:r>
        <w:t xml:space="preserve"> </w:t>
      </w:r>
      <w:r>
        <w:t xml:space="preserve">Research</w:t>
      </w:r>
      <w:r>
        <w:t xml:space="preserve">.</w:t>
      </w:r>
      <w:r>
        <w:t xml:space="preserve"> </w:t>
      </w:r>
      <w:r>
        <w:rPr>
          <w:iCs/>
          <w:i/>
        </w:rPr>
        <w:t xml:space="preserve">SSRN Electronic Journal</w:t>
      </w:r>
      <w:r>
        <w:t xml:space="preserve">. http://doi.org/</w:t>
      </w:r>
      <w:hyperlink r:id="rId402">
        <w:r>
          <w:rPr>
            <w:rStyle w:val="Hyperlink"/>
          </w:rPr>
          <w:t xml:space="preserve">10.2139/ssrn.1606674</w:t>
        </w:r>
      </w:hyperlink>
    </w:p>
    <w:bookmarkEnd w:id="403"/>
    <w:bookmarkStart w:id="405" w:name="ref-sinka_dominant_2010"/>
    <w:p>
      <w:pPr>
        <w:pStyle w:val="Bibliography"/>
      </w:pPr>
      <w:r>
        <w:t xml:space="preserve">Sinka, M. E., Bangs, M. J., Manguin, S., Coetzee, M., Mbogo, C. M., Hemingway, J., … Hay, S. I. (2010). The dominant</w:t>
      </w:r>
      <w:r>
        <w:t xml:space="preserve"> </w:t>
      </w:r>
      <w:r>
        <w:t xml:space="preserve">Anopheles</w:t>
      </w:r>
      <w:r>
        <w:t xml:space="preserve"> </w:t>
      </w:r>
      <w:r>
        <w:t xml:space="preserve">vectors of human malaria in</w:t>
      </w:r>
      <w:r>
        <w:t xml:space="preserve"> </w:t>
      </w:r>
      <w:r>
        <w:t xml:space="preserve">Africa</w:t>
      </w:r>
      <w:r>
        <w:t xml:space="preserve">,</w:t>
      </w:r>
      <w:r>
        <w:t xml:space="preserve"> </w:t>
      </w:r>
      <w:r>
        <w:t xml:space="preserve">Europe</w:t>
      </w:r>
      <w:r>
        <w:t xml:space="preserve"> </w:t>
      </w:r>
      <w:r>
        <w:t xml:space="preserve">and the</w:t>
      </w:r>
      <w:r>
        <w:t xml:space="preserve"> </w:t>
      </w:r>
      <w:r>
        <w:t xml:space="preserve">Middle</w:t>
      </w:r>
      <w:r>
        <w:t xml:space="preserve"> </w:t>
      </w:r>
      <w:r>
        <w:t xml:space="preserve">East</w:t>
      </w:r>
      <w:r>
        <w:t xml:space="preserve">: Occurrence data, distribution maps and bionomic précis.</w:t>
      </w:r>
      <w:r>
        <w:t xml:space="preserve"> </w:t>
      </w:r>
      <w:r>
        <w:rPr>
          <w:iCs/>
          <w:i/>
        </w:rPr>
        <w:t xml:space="preserve">Parasites &amp; Vectors</w:t>
      </w:r>
      <w:r>
        <w:t xml:space="preserve">,</w:t>
      </w:r>
      <w:r>
        <w:t xml:space="preserve"> </w:t>
      </w:r>
      <w:r>
        <w:rPr>
          <w:iCs/>
          <w:i/>
        </w:rPr>
        <w:t xml:space="preserve">3</w:t>
      </w:r>
      <w:r>
        <w:t xml:space="preserve">(1). http://doi.org/</w:t>
      </w:r>
      <w:hyperlink r:id="rId404">
        <w:r>
          <w:rPr>
            <w:rStyle w:val="Hyperlink"/>
          </w:rPr>
          <w:t xml:space="preserve">10.1186/1756-3305-3-117</w:t>
        </w:r>
      </w:hyperlink>
    </w:p>
    <w:bookmarkEnd w:id="405"/>
    <w:bookmarkStart w:id="407" w:name="ref-sinka_global_2012"/>
    <w:p>
      <w:pPr>
        <w:pStyle w:val="Bibliography"/>
      </w:pPr>
      <w:r>
        <w:t xml:space="preserve">Sinka, M. E., Bangs, M. J., Manguin, S., Rubio-Palis, Y., Chareonviriyaphap, T., Coetzee, M., … Hay, S. I. (2012). A global map of dominant malaria vectors.</w:t>
      </w:r>
      <w:r>
        <w:t xml:space="preserve"> </w:t>
      </w:r>
      <w:r>
        <w:rPr>
          <w:iCs/>
          <w:i/>
        </w:rPr>
        <w:t xml:space="preserve">Parasites &amp; Vectors</w:t>
      </w:r>
      <w:r>
        <w:t xml:space="preserve">,</w:t>
      </w:r>
      <w:r>
        <w:t xml:space="preserve"> </w:t>
      </w:r>
      <w:r>
        <w:rPr>
          <w:iCs/>
          <w:i/>
        </w:rPr>
        <w:t xml:space="preserve">5</w:t>
      </w:r>
      <w:r>
        <w:t xml:space="preserve">(1). http://doi.org/</w:t>
      </w:r>
      <w:hyperlink r:id="rId406">
        <w:r>
          <w:rPr>
            <w:rStyle w:val="Hyperlink"/>
          </w:rPr>
          <w:t xml:space="preserve">10.1186/1756-3305-5-69</w:t>
        </w:r>
      </w:hyperlink>
    </w:p>
    <w:bookmarkEnd w:id="407"/>
    <w:bookmarkStart w:id="409" w:name="ref-sokhna_changes_2013"/>
    <w:p>
      <w:pPr>
        <w:pStyle w:val="Bibliography"/>
      </w:pPr>
      <w:r>
        <w:t xml:space="preserve">Sokhna, C., Ndiath, M. O., &amp; Rogier, C. (2013). The changes in mosquito vector behaviour and the emerging resistance to insecticides will challenge the decline of malaria.</w:t>
      </w:r>
      <w:r>
        <w:t xml:space="preserve"> </w:t>
      </w:r>
      <w:r>
        <w:rPr>
          <w:iCs/>
          <w:i/>
        </w:rPr>
        <w:t xml:space="preserve">Clinical Microbiology and Infection</w:t>
      </w:r>
      <w:r>
        <w:t xml:space="preserve">,</w:t>
      </w:r>
      <w:r>
        <w:t xml:space="preserve"> </w:t>
      </w:r>
      <w:r>
        <w:rPr>
          <w:iCs/>
          <w:i/>
        </w:rPr>
        <w:t xml:space="preserve">19</w:t>
      </w:r>
      <w:r>
        <w:t xml:space="preserve">(10), 902–907. http://doi.org/</w:t>
      </w:r>
      <w:hyperlink r:id="rId408">
        <w:r>
          <w:rPr>
            <w:rStyle w:val="Hyperlink"/>
          </w:rPr>
          <w:t xml:space="preserve">10.1111/1469-0691.12314</w:t>
        </w:r>
      </w:hyperlink>
    </w:p>
    <w:bookmarkEnd w:id="409"/>
    <w:bookmarkStart w:id="411" w:name="ref-soma_anopheles_2020"/>
    <w:p>
      <w:pPr>
        <w:pStyle w:val="Bibliography"/>
      </w:pPr>
      <w:r>
        <w:t xml:space="preserve">Soma, D. D., Zogo, B. M., Somé, A., Tchiekoi, B. N., Hien, D. F. de S., Pooda, H. S., … Dabiré, R. K. (2020). Anopheles bionomics, insecticide resistance and malaria transmission in southwest</w:t>
      </w:r>
      <w:r>
        <w:t xml:space="preserve"> </w:t>
      </w:r>
      <w:r>
        <w:t xml:space="preserve">Burkina</w:t>
      </w:r>
      <w:r>
        <w:t xml:space="preserve"> </w:t>
      </w:r>
      <w:r>
        <w:t xml:space="preserve">Faso</w:t>
      </w:r>
      <w:r>
        <w:t xml:space="preserve">:</w:t>
      </w:r>
      <w:r>
        <w:t xml:space="preserve"> </w:t>
      </w:r>
      <w:r>
        <w:t xml:space="preserve">A</w:t>
      </w:r>
      <w:r>
        <w:t xml:space="preserve"> </w:t>
      </w:r>
      <w:r>
        <w:t xml:space="preserve">pre-intervention study.</w:t>
      </w:r>
      <w:r>
        <w:t xml:space="preserve"> </w:t>
      </w:r>
      <w:r>
        <w:rPr>
          <w:iCs/>
          <w:i/>
        </w:rPr>
        <w:t xml:space="preserve">PLOS ONE</w:t>
      </w:r>
      <w:r>
        <w:t xml:space="preserve">,</w:t>
      </w:r>
      <w:r>
        <w:t xml:space="preserve"> </w:t>
      </w:r>
      <w:r>
        <w:rPr>
          <w:iCs/>
          <w:i/>
        </w:rPr>
        <w:t xml:space="preserve">15</w:t>
      </w:r>
      <w:r>
        <w:t xml:space="preserve">(8), e0236920. http://doi.org/</w:t>
      </w:r>
      <w:hyperlink r:id="rId410">
        <w:r>
          <w:rPr>
            <w:rStyle w:val="Hyperlink"/>
          </w:rPr>
          <w:t xml:space="preserve">10.1371/journal.pone.0236920</w:t>
        </w:r>
      </w:hyperlink>
    </w:p>
    <w:bookmarkEnd w:id="411"/>
    <w:bookmarkStart w:id="413" w:name="ref-stresman_beyond_2010"/>
    <w:p>
      <w:pPr>
        <w:pStyle w:val="Bibliography"/>
      </w:pPr>
      <w:r>
        <w:t xml:space="preserve">Stresman, G. H. (2010). Beyond temperature and precipitation:</w:t>
      </w:r>
      <w:r>
        <w:t xml:space="preserve"> </w:t>
      </w:r>
      <w:r>
        <w:t xml:space="preserve">Ecological</w:t>
      </w:r>
      <w:r>
        <w:t xml:space="preserve"> </w:t>
      </w:r>
      <w:r>
        <w:t xml:space="preserve">risk factors that modify malaria transmission.</w:t>
      </w:r>
      <w:r>
        <w:t xml:space="preserve"> </w:t>
      </w:r>
      <w:r>
        <w:rPr>
          <w:iCs/>
          <w:i/>
        </w:rPr>
        <w:t xml:space="preserve">Acta Tropica</w:t>
      </w:r>
      <w:r>
        <w:t xml:space="preserve">,</w:t>
      </w:r>
      <w:r>
        <w:t xml:space="preserve"> </w:t>
      </w:r>
      <w:r>
        <w:rPr>
          <w:iCs/>
          <w:i/>
        </w:rPr>
        <w:t xml:space="preserve">116</w:t>
      </w:r>
      <w:r>
        <w:t xml:space="preserve">(3), 167–172. http://doi.org/</w:t>
      </w:r>
      <w:hyperlink r:id="rId412">
        <w:r>
          <w:rPr>
            <w:rStyle w:val="Hyperlink"/>
          </w:rPr>
          <w:t xml:space="preserve">10.1016/j.actatropica.2010.08.005</w:t>
        </w:r>
      </w:hyperlink>
    </w:p>
    <w:bookmarkEnd w:id="413"/>
    <w:bookmarkStart w:id="415" w:name="ref-tchuinkam_bionomics_2010"/>
    <w:p>
      <w:pPr>
        <w:pStyle w:val="Bibliography"/>
      </w:pPr>
      <w:r>
        <w:t xml:space="preserve">Tchuinkam, T., Simard, F., Lélé-Defo, E., Téné-Fossog, B., Tateng-Ngouateu, A., Antonio-Nkondjio, C., … Awono-Ambéné, H.-P. (2010). Bionomics of</w:t>
      </w:r>
      <w:r>
        <w:t xml:space="preserve"> </w:t>
      </w:r>
      <w:r>
        <w:t xml:space="preserve">Anopheline</w:t>
      </w:r>
      <w:r>
        <w:t xml:space="preserve"> </w:t>
      </w:r>
      <w:r>
        <w:t xml:space="preserve">species and malaria transmission dynamics along an altitudinal transect in</w:t>
      </w:r>
      <w:r>
        <w:t xml:space="preserve"> </w:t>
      </w:r>
      <w:r>
        <w:t xml:space="preserve">Western</w:t>
      </w:r>
      <w:r>
        <w:t xml:space="preserve"> </w:t>
      </w:r>
      <w:r>
        <w:t xml:space="preserve">Cameroon</w:t>
      </w:r>
      <w:r>
        <w:t xml:space="preserve">.</w:t>
      </w:r>
      <w:r>
        <w:t xml:space="preserve"> </w:t>
      </w:r>
      <w:r>
        <w:rPr>
          <w:iCs/>
          <w:i/>
        </w:rPr>
        <w:t xml:space="preserve">BMC Infectious Diseases</w:t>
      </w:r>
      <w:r>
        <w:t xml:space="preserve">,</w:t>
      </w:r>
      <w:r>
        <w:t xml:space="preserve"> </w:t>
      </w:r>
      <w:r>
        <w:rPr>
          <w:iCs/>
          <w:i/>
        </w:rPr>
        <w:t xml:space="preserve">10</w:t>
      </w:r>
      <w:r>
        <w:t xml:space="preserve">(1). http://doi.org/</w:t>
      </w:r>
      <w:hyperlink r:id="rId414">
        <w:r>
          <w:rPr>
            <w:rStyle w:val="Hyperlink"/>
          </w:rPr>
          <w:t xml:space="preserve">10.1186/1471-2334-10-119</w:t>
        </w:r>
      </w:hyperlink>
    </w:p>
    <w:bookmarkEnd w:id="415"/>
    <w:bookmarkStart w:id="417" w:name="ref-wan__zhengming_mod11a1_2015"/>
    <w:p>
      <w:pPr>
        <w:pStyle w:val="Bibliography"/>
      </w:pPr>
      <w:r>
        <w:t xml:space="preserve">Wan, Z., Hook, S., &amp; Hulley, G. (2015a).</w:t>
      </w:r>
      <w:r>
        <w:t xml:space="preserve"> </w:t>
      </w:r>
      <w:r>
        <w:t xml:space="preserve">MOD11A1</w:t>
      </w:r>
      <w:r>
        <w:t xml:space="preserve"> </w:t>
      </w:r>
      <w:r>
        <w:t xml:space="preserve">MODIS</w:t>
      </w:r>
      <w:r>
        <w:t xml:space="preserve">/</w:t>
      </w:r>
      <w:r>
        <w:t xml:space="preserve">Terra</w:t>
      </w:r>
      <w:r>
        <w:t xml:space="preserve"> </w:t>
      </w:r>
      <w:r>
        <w:t xml:space="preserve">Land</w:t>
      </w:r>
      <w:r>
        <w:t xml:space="preserve"> </w:t>
      </w:r>
      <w:r>
        <w:t xml:space="preserve">Surface</w:t>
      </w:r>
      <w:r>
        <w:t xml:space="preserve"> </w:t>
      </w:r>
      <w:r>
        <w:t xml:space="preserve">Temperature</w:t>
      </w:r>
      <w:r>
        <w:t xml:space="preserve">/</w:t>
      </w:r>
      <w:r>
        <w:t xml:space="preserve">Emissivity</w:t>
      </w:r>
      <w:r>
        <w:t xml:space="preserve"> </w:t>
      </w:r>
      <w:r>
        <w:t xml:space="preserve">Daily</w:t>
      </w:r>
      <w:r>
        <w:t xml:space="preserve"> </w:t>
      </w:r>
      <w:r>
        <w:t xml:space="preserve">L3</w:t>
      </w:r>
      <w:r>
        <w:t xml:space="preserve"> </w:t>
      </w:r>
      <w:r>
        <w:t xml:space="preserve">Global</w:t>
      </w:r>
      <w:r>
        <w:t xml:space="preserve"> </w:t>
      </w:r>
      <w:r>
        <w:t xml:space="preserve">1km</w:t>
      </w:r>
      <w:r>
        <w:t xml:space="preserve"> </w:t>
      </w:r>
      <w:r>
        <w:t xml:space="preserve">SIN</w:t>
      </w:r>
      <w:r>
        <w:t xml:space="preserve"> </w:t>
      </w:r>
      <w:r>
        <w:t xml:space="preserve">Grid</w:t>
      </w:r>
      <w:r>
        <w:t xml:space="preserve"> </w:t>
      </w:r>
      <w:r>
        <w:t xml:space="preserve">V006</w:t>
      </w:r>
      <w:r>
        <w:t xml:space="preserve">. NASA EOSDIS Land Processes DAAC. http://doi.org/</w:t>
      </w:r>
      <w:hyperlink r:id="rId416">
        <w:r>
          <w:rPr>
            <w:rStyle w:val="Hyperlink"/>
          </w:rPr>
          <w:t xml:space="preserve">10.5067/MODIS/MOD11A1.006</w:t>
        </w:r>
      </w:hyperlink>
    </w:p>
    <w:bookmarkEnd w:id="417"/>
    <w:bookmarkStart w:id="419" w:name="ref-wan__zhengming_myd11a1_2015"/>
    <w:p>
      <w:pPr>
        <w:pStyle w:val="Bibliography"/>
      </w:pPr>
      <w:r>
        <w:t xml:space="preserve">Wan, Z., Hook, S., &amp; Hulley, G. (2015b).</w:t>
      </w:r>
      <w:r>
        <w:t xml:space="preserve"> </w:t>
      </w:r>
      <w:r>
        <w:t xml:space="preserve">MYD11A1</w:t>
      </w:r>
      <w:r>
        <w:t xml:space="preserve"> </w:t>
      </w:r>
      <w:r>
        <w:t xml:space="preserve">MODIS</w:t>
      </w:r>
      <w:r>
        <w:t xml:space="preserve">/</w:t>
      </w:r>
      <w:r>
        <w:t xml:space="preserve">Aqua</w:t>
      </w:r>
      <w:r>
        <w:t xml:space="preserve"> </w:t>
      </w:r>
      <w:r>
        <w:t xml:space="preserve">Land</w:t>
      </w:r>
      <w:r>
        <w:t xml:space="preserve"> </w:t>
      </w:r>
      <w:r>
        <w:t xml:space="preserve">Surface</w:t>
      </w:r>
      <w:r>
        <w:t xml:space="preserve"> </w:t>
      </w:r>
      <w:r>
        <w:t xml:space="preserve">Temperature</w:t>
      </w:r>
      <w:r>
        <w:t xml:space="preserve">/</w:t>
      </w:r>
      <w:r>
        <w:t xml:space="preserve">Emissivity</w:t>
      </w:r>
      <w:r>
        <w:t xml:space="preserve"> </w:t>
      </w:r>
      <w:r>
        <w:t xml:space="preserve">Daily</w:t>
      </w:r>
      <w:r>
        <w:t xml:space="preserve"> </w:t>
      </w:r>
      <w:r>
        <w:t xml:space="preserve">L3</w:t>
      </w:r>
      <w:r>
        <w:t xml:space="preserve"> </w:t>
      </w:r>
      <w:r>
        <w:t xml:space="preserve">Global</w:t>
      </w:r>
      <w:r>
        <w:t xml:space="preserve"> </w:t>
      </w:r>
      <w:r>
        <w:t xml:space="preserve">1km</w:t>
      </w:r>
      <w:r>
        <w:t xml:space="preserve"> </w:t>
      </w:r>
      <w:r>
        <w:t xml:space="preserve">SIN</w:t>
      </w:r>
      <w:r>
        <w:t xml:space="preserve"> </w:t>
      </w:r>
      <w:r>
        <w:t xml:space="preserve">Grid</w:t>
      </w:r>
      <w:r>
        <w:t xml:space="preserve"> </w:t>
      </w:r>
      <w:r>
        <w:t xml:space="preserve">V006</w:t>
      </w:r>
      <w:r>
        <w:t xml:space="preserve">. NASA EOSDIS Land Processes DAAC. http://doi.org/</w:t>
      </w:r>
      <w:hyperlink r:id="rId418">
        <w:r>
          <w:rPr>
            <w:rStyle w:val="Hyperlink"/>
          </w:rPr>
          <w:t xml:space="preserve">10.5067/MODIS/MYD11A1.006</w:t>
        </w:r>
      </w:hyperlink>
    </w:p>
    <w:bookmarkEnd w:id="419"/>
    <w:bookmarkStart w:id="421" w:name="ref-weill_unique_2004"/>
    <w:p>
      <w:pPr>
        <w:pStyle w:val="Bibliography"/>
      </w:pPr>
      <w:r>
        <w:t xml:space="preserve">Weill, M., Malcolm, C., Chandre, F., Mogensen, K., Berthomieu, A., Marquine, M., &amp; Raymond, M. (2004). The unique mutation in ace-1 giving high insecticide resistance is easily detectable in mosquito vectors.</w:t>
      </w:r>
      <w:r>
        <w:t xml:space="preserve"> </w:t>
      </w:r>
      <w:r>
        <w:rPr>
          <w:iCs/>
          <w:i/>
        </w:rPr>
        <w:t xml:space="preserve">Insect Molecular Biology</w:t>
      </w:r>
      <w:r>
        <w:t xml:space="preserve">,</w:t>
      </w:r>
      <w:r>
        <w:t xml:space="preserve"> </w:t>
      </w:r>
      <w:r>
        <w:rPr>
          <w:iCs/>
          <w:i/>
        </w:rPr>
        <w:t xml:space="preserve">13</w:t>
      </w:r>
      <w:r>
        <w:t xml:space="preserve">(1), 1–7. http://doi.org/</w:t>
      </w:r>
      <w:hyperlink r:id="rId420">
        <w:r>
          <w:rPr>
            <w:rStyle w:val="Hyperlink"/>
          </w:rPr>
          <w:t xml:space="preserve">10.1111/j.1365-2583.2004.00452.x</w:t>
        </w:r>
      </w:hyperlink>
    </w:p>
    <w:bookmarkEnd w:id="421"/>
    <w:bookmarkStart w:id="423" w:name="ref-weiss_mapping_2019"/>
    <w:p>
      <w:pPr>
        <w:pStyle w:val="Bibliography"/>
      </w:pPr>
      <w:r>
        <w:t xml:space="preserve">Weiss, D. J., Lucas, T. C. D., Nguyen, M., Nandi, A. K., Bisanzio, D., Battle, K. E., … Gething, P. W. (2019). Mapping the global prevalence, incidence, and mortality of</w:t>
      </w:r>
      <w:r>
        <w:t xml:space="preserve"> </w:t>
      </w:r>
      <w:r>
        <w:t xml:space="preserve">Plasmodium</w:t>
      </w:r>
      <w:r>
        <w:t xml:space="preserve"> </w:t>
      </w:r>
      <w:r>
        <w:t xml:space="preserve">falciparum, 2000–17: A spatial and temporal modelling study.</w:t>
      </w:r>
      <w:r>
        <w:t xml:space="preserve"> </w:t>
      </w:r>
      <w:r>
        <w:rPr>
          <w:iCs/>
          <w:i/>
        </w:rPr>
        <w:t xml:space="preserve">The Lancet</w:t>
      </w:r>
      <w:r>
        <w:t xml:space="preserve">,</w:t>
      </w:r>
      <w:r>
        <w:t xml:space="preserve"> </w:t>
      </w:r>
      <w:r>
        <w:rPr>
          <w:iCs/>
          <w:i/>
        </w:rPr>
        <w:t xml:space="preserve">394</w:t>
      </w:r>
      <w:r>
        <w:t xml:space="preserve">(10195), 322–331. http://doi.org/</w:t>
      </w:r>
      <w:hyperlink r:id="rId422">
        <w:r>
          <w:rPr>
            <w:rStyle w:val="Hyperlink"/>
          </w:rPr>
          <w:t xml:space="preserve">10.1016/S0140-6736(19)31097-9</w:t>
        </w:r>
      </w:hyperlink>
    </w:p>
    <w:bookmarkEnd w:id="423"/>
    <w:bookmarkStart w:id="424" w:name="ref-who_2020_world_nodate"/>
    <w:p>
      <w:pPr>
        <w:pStyle w:val="Bibliography"/>
      </w:pPr>
      <w:r>
        <w:t xml:space="preserve">WHO. (2020). World malaria report 2020: 20 years of global progress and challenges. Licence: CC BY-NC-SA 3.0 IGO.</w:t>
      </w:r>
    </w:p>
    <w:bookmarkEnd w:id="424"/>
    <w:bookmarkStart w:id="426" w:name="ref-who_2021"/>
    <w:p>
      <w:pPr>
        <w:pStyle w:val="Bibliography"/>
      </w:pPr>
      <w:r>
        <w:t xml:space="preserve">WHO. (2021). World malaria report 2021. Licence: CC BY-NC-SA 3.0 IGO. Retrieved from</w:t>
      </w:r>
      <w:r>
        <w:t xml:space="preserve"> </w:t>
      </w:r>
      <w:hyperlink r:id="rId425">
        <w:r>
          <w:rPr>
            <w:rStyle w:val="Hyperlink"/>
          </w:rPr>
          <w:t xml:space="preserve">https://www.who.int/publications-detail-redirect/9789240040496</w:t>
        </w:r>
      </w:hyperlink>
    </w:p>
    <w:bookmarkEnd w:id="426"/>
    <w:bookmarkStart w:id="428" w:name="ref-wilson_importance_2020"/>
    <w:p>
      <w:pPr>
        <w:pStyle w:val="Bibliography"/>
      </w:pPr>
      <w:r>
        <w:t xml:space="preserve">Wilson, A. L., Courtenay, O., Kelly-Hope, L. A., Scott, T. W., Takken, W., Torr, S. J., &amp; Lindsay, S. W. (2020). The importance of vector control for the control and elimination of vector-borne diseases.</w:t>
      </w:r>
      <w:r>
        <w:t xml:space="preserve"> </w:t>
      </w:r>
      <w:r>
        <w:rPr>
          <w:iCs/>
          <w:i/>
        </w:rPr>
        <w:t xml:space="preserve">PLOS Neglected Tropical Diseases</w:t>
      </w:r>
      <w:r>
        <w:t xml:space="preserve">,</w:t>
      </w:r>
      <w:r>
        <w:t xml:space="preserve"> </w:t>
      </w:r>
      <w:r>
        <w:rPr>
          <w:iCs/>
          <w:i/>
        </w:rPr>
        <w:t xml:space="preserve">14</w:t>
      </w:r>
      <w:r>
        <w:t xml:space="preserve">(1), e0007831. http://doi.org/</w:t>
      </w:r>
      <w:hyperlink r:id="rId427">
        <w:r>
          <w:rPr>
            <w:rStyle w:val="Hyperlink"/>
          </w:rPr>
          <w:t xml:space="preserve">10.1371/journal.pntd.0007831</w:t>
        </w:r>
      </w:hyperlink>
    </w:p>
    <w:bookmarkEnd w:id="428"/>
    <w:bookmarkStart w:id="430" w:name="ref-bookdown"/>
    <w:p>
      <w:pPr>
        <w:pStyle w:val="Bibliography"/>
      </w:pPr>
      <w:r>
        <w:t xml:space="preserve">Xie, Y. (2019).</w:t>
      </w:r>
      <w:r>
        <w:t xml:space="preserve"> </w:t>
      </w:r>
      <w:r>
        <w:rPr>
          <w:iCs/>
          <w:i/>
        </w:rPr>
        <w:t xml:space="preserve">Bookdown: Authoring books and technical documents with r markdown</w:t>
      </w:r>
      <w:r>
        <w:t xml:space="preserve">. Retrieved from</w:t>
      </w:r>
      <w:r>
        <w:t xml:space="preserve"> </w:t>
      </w:r>
      <w:hyperlink r:id="rId429">
        <w:r>
          <w:rPr>
            <w:rStyle w:val="Hyperlink"/>
          </w:rPr>
          <w:t xml:space="preserve">https://github.com/rstudio/bookdown</w:t>
        </w:r>
      </w:hyperlink>
    </w:p>
    <w:bookmarkEnd w:id="430"/>
    <w:bookmarkStart w:id="432" w:name="ref-knitr"/>
    <w:p>
      <w:pPr>
        <w:pStyle w:val="Bibliography"/>
      </w:pPr>
      <w:r>
        <w:t xml:space="preserve">Xie, Y. (2020).</w:t>
      </w:r>
      <w:r>
        <w:t xml:space="preserve"> </w:t>
      </w:r>
      <w:r>
        <w:rPr>
          <w:iCs/>
          <w:i/>
        </w:rPr>
        <w:t xml:space="preserve">Knitr: A general-purpose package for dynamic report generation in r</w:t>
      </w:r>
      <w:r>
        <w:t xml:space="preserve">. Retrieved from</w:t>
      </w:r>
      <w:r>
        <w:t xml:space="preserve"> </w:t>
      </w:r>
      <w:hyperlink r:id="rId431">
        <w:r>
          <w:rPr>
            <w:rStyle w:val="Hyperlink"/>
          </w:rPr>
          <w:t xml:space="preserve">https://yihui.org/knitr/</w:t>
        </w:r>
      </w:hyperlink>
    </w:p>
    <w:bookmarkEnd w:id="432"/>
    <w:bookmarkStart w:id="434" w:name="ref-yanai_night_2019"/>
    <w:p>
      <w:pPr>
        <w:pStyle w:val="Bibliography"/>
      </w:pPr>
      <w:r>
        <w:t xml:space="preserve">Yanai, I., &amp; Lercher, M. (2019). Night science.</w:t>
      </w:r>
      <w:r>
        <w:t xml:space="preserve"> </w:t>
      </w:r>
      <w:r>
        <w:rPr>
          <w:iCs/>
          <w:i/>
        </w:rPr>
        <w:t xml:space="preserve">Genome Biology</w:t>
      </w:r>
      <w:r>
        <w:t xml:space="preserve">,</w:t>
      </w:r>
      <w:r>
        <w:t xml:space="preserve"> </w:t>
      </w:r>
      <w:r>
        <w:rPr>
          <w:iCs/>
          <w:i/>
        </w:rPr>
        <w:t xml:space="preserve">20</w:t>
      </w:r>
      <w:r>
        <w:t xml:space="preserve">(1). http://doi.org/</w:t>
      </w:r>
      <w:hyperlink r:id="rId433">
        <w:r>
          <w:rPr>
            <w:rStyle w:val="Hyperlink"/>
          </w:rPr>
          <w:t xml:space="preserve">10.1186/s13059-019-1800-6</w:t>
        </w:r>
      </w:hyperlink>
    </w:p>
    <w:bookmarkEnd w:id="434"/>
    <w:bookmarkStart w:id="436" w:name="ref-yu_study_2021"/>
    <w:p>
      <w:pPr>
        <w:pStyle w:val="Bibliography"/>
      </w:pPr>
      <w:r>
        <w:t xml:space="preserve">Yu, Q., Ji, W., Prihodko, L., Ross, C. W., Anchang, J. Y., &amp; Hanan, N. P. (2021). Study becomes insight:</w:t>
      </w:r>
      <w:r>
        <w:t xml:space="preserve"> </w:t>
      </w:r>
      <w:r>
        <w:t xml:space="preserve">Ecological</w:t>
      </w:r>
      <w:r>
        <w:t xml:space="preserve"> </w:t>
      </w:r>
      <w:r>
        <w:t xml:space="preserve">learning from machine learning.</w:t>
      </w:r>
      <w:r>
        <w:t xml:space="preserve"> </w:t>
      </w:r>
      <w:r>
        <w:rPr>
          <w:iCs/>
          <w:i/>
        </w:rPr>
        <w:t xml:space="preserve">Methods in Ecology and Evolution</w:t>
      </w:r>
      <w:r>
        <w:t xml:space="preserve">. http://doi.org/</w:t>
      </w:r>
      <w:hyperlink r:id="rId435">
        <w:r>
          <w:rPr>
            <w:rStyle w:val="Hyperlink"/>
          </w:rPr>
          <w:t xml:space="preserve">10.1111/2041-210X.13686</w:t>
        </w:r>
      </w:hyperlink>
    </w:p>
    <w:bookmarkEnd w:id="436"/>
    <w:bookmarkStart w:id="438" w:name="ref-zhao_causal_2021"/>
    <w:p>
      <w:pPr>
        <w:pStyle w:val="Bibliography"/>
      </w:pPr>
      <w:r>
        <w:t xml:space="preserve">Zhao, Q., &amp; Hastie, T. (2021). Causal</w:t>
      </w:r>
      <w:r>
        <w:t xml:space="preserve"> </w:t>
      </w:r>
      <w:r>
        <w:t xml:space="preserve">Interpretations</w:t>
      </w:r>
      <w:r>
        <w:t xml:space="preserve"> </w:t>
      </w:r>
      <w:r>
        <w:t xml:space="preserve">of</w:t>
      </w:r>
      <w:r>
        <w:t xml:space="preserve"> </w:t>
      </w:r>
      <w:r>
        <w:t xml:space="preserve">Black</w:t>
      </w:r>
      <w:r>
        <w:t xml:space="preserve">-</w:t>
      </w:r>
      <w:r>
        <w:t xml:space="preserve">Box</w:t>
      </w:r>
      <w:r>
        <w:t xml:space="preserve"> </w:t>
      </w:r>
      <w:r>
        <w:t xml:space="preserve">Models</w:t>
      </w:r>
      <w:r>
        <w:t xml:space="preserve">.</w:t>
      </w:r>
      <w:r>
        <w:t xml:space="preserve"> </w:t>
      </w:r>
      <w:r>
        <w:rPr>
          <w:iCs/>
          <w:i/>
        </w:rPr>
        <w:t xml:space="preserve">Journal of Business &amp; Economic Statistics</w:t>
      </w:r>
      <w:r>
        <w:t xml:space="preserve">,</w:t>
      </w:r>
      <w:r>
        <w:t xml:space="preserve"> </w:t>
      </w:r>
      <w:r>
        <w:rPr>
          <w:iCs/>
          <w:i/>
        </w:rPr>
        <w:t xml:space="preserve">39</w:t>
      </w:r>
      <w:r>
        <w:t xml:space="preserve">(1), 272–281. http://doi.org/</w:t>
      </w:r>
      <w:hyperlink r:id="rId437">
        <w:r>
          <w:rPr>
            <w:rStyle w:val="Hyperlink"/>
          </w:rPr>
          <w:t xml:space="preserve">10.1080/07350015.2019.1624293</w:t>
        </w:r>
      </w:hyperlink>
    </w:p>
    <w:bookmarkEnd w:id="438"/>
    <w:bookmarkStart w:id="440" w:name="ref-kableExtra"/>
    <w:p>
      <w:pPr>
        <w:pStyle w:val="Bibliography"/>
      </w:pPr>
      <w:r>
        <w:t xml:space="preserve">Zhu, H. (2019).</w:t>
      </w:r>
      <w:r>
        <w:t xml:space="preserve"> </w:t>
      </w:r>
      <w:r>
        <w:rPr>
          <w:iCs/>
          <w:i/>
        </w:rPr>
        <w:t xml:space="preserve">kableExtra: Construct complex table with ’kable’ and pipe syntax</w:t>
      </w:r>
      <w:r>
        <w:t xml:space="preserve">. Retrieved from</w:t>
      </w:r>
      <w:r>
        <w:t xml:space="preserve"> </w:t>
      </w:r>
      <w:hyperlink r:id="rId439">
        <w:r>
          <w:rPr>
            <w:rStyle w:val="Hyperlink"/>
          </w:rPr>
          <w:t xml:space="preserve">https://CRAN.R-project.org/package=kableExtra</w:t>
        </w:r>
      </w:hyperlink>
    </w:p>
    <w:bookmarkEnd w:id="440"/>
    <w:bookmarkStart w:id="442" w:name="ref-zogo_identification_2019"/>
    <w:p>
      <w:pPr>
        <w:pStyle w:val="Bibliography"/>
      </w:pPr>
      <w:r>
        <w:t xml:space="preserve">Zogo, B., Koffi, A. A., Alou, L. P. A., Fournet, F., Dahounto, A., Dabiré, R. K., … Pennetier, C. (2019). Identification and characterization of</w:t>
      </w:r>
      <w:r>
        <w:t xml:space="preserve"> </w:t>
      </w:r>
      <w:r>
        <w:t xml:space="preserve">Anopheles</w:t>
      </w:r>
      <w:r>
        <w:t xml:space="preserve"> </w:t>
      </w:r>
      <w:r>
        <w:t xml:space="preserve">spp. Breeding habitats in the</w:t>
      </w:r>
      <w:r>
        <w:t xml:space="preserve"> </w:t>
      </w:r>
      <w:r>
        <w:t xml:space="preserve">Korhogo</w:t>
      </w:r>
      <w:r>
        <w:t xml:space="preserve"> </w:t>
      </w:r>
      <w:r>
        <w:t xml:space="preserve">area in northern</w:t>
      </w:r>
      <w:r>
        <w:t xml:space="preserve"> </w:t>
      </w:r>
      <w:r>
        <w:t xml:space="preserve">Côte</w:t>
      </w:r>
      <w:r>
        <w:t xml:space="preserve"> </w:t>
      </w:r>
      <w:r>
        <w:t xml:space="preserve">d’</w:t>
      </w:r>
      <w:r>
        <w:t xml:space="preserve">Ivoire</w:t>
      </w:r>
      <w:r>
        <w:t xml:space="preserve">: A study prior to a</w:t>
      </w:r>
      <w:r>
        <w:t xml:space="preserve"> </w:t>
      </w:r>
      <w:r>
        <w:t xml:space="preserve">Bti</w:t>
      </w:r>
      <w:r>
        <w:t xml:space="preserve">-based larviciding intervention.</w:t>
      </w:r>
      <w:r>
        <w:t xml:space="preserve"> </w:t>
      </w:r>
      <w:r>
        <w:rPr>
          <w:iCs/>
          <w:i/>
        </w:rPr>
        <w:t xml:space="preserve">Parasites &amp; Vectors</w:t>
      </w:r>
      <w:r>
        <w:t xml:space="preserve">,</w:t>
      </w:r>
      <w:r>
        <w:t xml:space="preserve"> </w:t>
      </w:r>
      <w:r>
        <w:rPr>
          <w:iCs/>
          <w:i/>
        </w:rPr>
        <w:t xml:space="preserve">12</w:t>
      </w:r>
      <w:r>
        <w:t xml:space="preserve">(1), 146. http://doi.org/</w:t>
      </w:r>
      <w:hyperlink r:id="rId441">
        <w:r>
          <w:rPr>
            <w:rStyle w:val="Hyperlink"/>
          </w:rPr>
          <w:t xml:space="preserve">10.1186/s13071-019-3404-0</w:t>
        </w:r>
      </w:hyperlink>
    </w:p>
    <w:bookmarkEnd w:id="442"/>
    <w:bookmarkStart w:id="444" w:name="ref-zogo_anopheles_2019"/>
    <w:p>
      <w:pPr>
        <w:pStyle w:val="Bibliography"/>
      </w:pPr>
      <w:r>
        <w:t xml:space="preserve">Zogo, B., Soma, D. D., Tchiekoi, B. N., Somé, A., Ahoua Alou, L. P., Koffi, A. A., … Pennetier, C. (2019).</w:t>
      </w:r>
      <w:r>
        <w:t xml:space="preserve"> </w:t>
      </w:r>
      <w:r>
        <w:rPr>
          <w:iCs/>
          <w:i/>
        </w:rPr>
        <w:t xml:space="preserve">Anopheles</w:t>
      </w:r>
      <w:r>
        <w:t xml:space="preserve"> </w:t>
      </w:r>
      <w:r>
        <w:t xml:space="preserve">bionomics, insecticide resistance mechanisms, and malaria transmission in the</w:t>
      </w:r>
      <w:r>
        <w:t xml:space="preserve"> </w:t>
      </w:r>
      <w:r>
        <w:t xml:space="preserve">Korhogo</w:t>
      </w:r>
      <w:r>
        <w:t xml:space="preserve"> </w:t>
      </w:r>
      <w:r>
        <w:t xml:space="preserve">area, northern</w:t>
      </w:r>
      <w:r>
        <w:t xml:space="preserve"> </w:t>
      </w:r>
      <w:r>
        <w:t xml:space="preserve">Côte</w:t>
      </w:r>
      <w:r>
        <w:t xml:space="preserve"> </w:t>
      </w:r>
      <w:r>
        <w:t xml:space="preserve">d’</w:t>
      </w:r>
      <w:r>
        <w:t xml:space="preserve">Ivoire</w:t>
      </w:r>
      <w:r>
        <w:t xml:space="preserve">: A pre-intervention study.</w:t>
      </w:r>
      <w:r>
        <w:t xml:space="preserve"> </w:t>
      </w:r>
      <w:r>
        <w:rPr>
          <w:iCs/>
          <w:i/>
        </w:rPr>
        <w:t xml:space="preserve">Parasite</w:t>
      </w:r>
      <w:r>
        <w:t xml:space="preserve">,</w:t>
      </w:r>
      <w:r>
        <w:t xml:space="preserve"> </w:t>
      </w:r>
      <w:r>
        <w:rPr>
          <w:iCs/>
          <w:i/>
        </w:rPr>
        <w:t xml:space="preserve">26</w:t>
      </w:r>
      <w:r>
        <w:t xml:space="preserve">, 40. http://doi.org/</w:t>
      </w:r>
      <w:hyperlink r:id="rId443">
        <w:r>
          <w:rPr>
            <w:rStyle w:val="Hyperlink"/>
          </w:rPr>
          <w:t xml:space="preserve">10.1051/parasite/2019040</w:t>
        </w:r>
      </w:hyperlink>
    </w:p>
    <w:bookmarkEnd w:id="444"/>
    <w:bookmarkEnd w:id="445"/>
    <w:bookmarkEnd w:id="446"/>
    <w:bookmarkStart w:id="447" w:name="appendix-appendix"/>
    <w:p>
      <w:pPr>
        <w:pStyle w:val="Heading1"/>
      </w:pPr>
      <w:r>
        <w:t xml:space="preserve">(APPENDIX) Appendix</w:t>
      </w:r>
    </w:p>
    <w:bookmarkEnd w:id="447"/>
    <w:bookmarkStart w:id="455" w:name="data-terrain"/>
    <w:p>
      <w:pPr>
        <w:pStyle w:val="Heading1"/>
      </w:pPr>
      <w:r>
        <w:t xml:space="preserve">Description des données recueillies sur le terrain au cours du projet REACT</w:t>
      </w:r>
    </w:p>
    <w:p>
      <w:pPr>
        <w:pStyle w:val="FirstParagraph"/>
      </w:pPr>
      <w:r>
        <w:rPr>
          <w:iCs/>
          <w:i/>
        </w:rPr>
        <w:t xml:space="preserve">Cette annexe décrit les protocoles de recueil des données de terrain collectées dans le cadre du projet REACT, utilisées dans les travaux de thèse</w:t>
      </w:r>
    </w:p>
    <w:bookmarkStart w:id="448" w:name="entomo-data"/>
    <w:p>
      <w:pPr>
        <w:pStyle w:val="Heading4"/>
      </w:pPr>
      <w:r>
        <w:t xml:space="preserve">Données entomologiques</w:t>
      </w:r>
    </w:p>
    <w:p>
      <w:pPr>
        <w:pStyle w:val="FirstParagraph"/>
      </w:pPr>
      <w:r>
        <w:t xml:space="preserve">Dans le cadre du projet REACT, plusieurs enquêtes entomologiques (huit en Côte d’Ivoire, sept au Burkina Faso) ont été effectuées dans chaque village au cours des 2 années du projet. Les périodes des enquêtes ont couvert les conditions climatiques typiques de ces régions tropicales (à l’exception de la haute saison des pluies - juillet à septembre). Les moustiques ont été collectés en utilisant la technique de la capture sur sujet humain</w:t>
      </w:r>
      <w:r>
        <w:t xml:space="preserve"> </w:t>
      </w:r>
      <w:r>
        <w:t xml:space="preserve">(</w:t>
      </w:r>
      <w:hyperlink w:anchor="ref-Silver2008">
        <w:r>
          <w:rPr>
            <w:rStyle w:val="Hyperlink"/>
          </w:rPr>
          <w:t xml:space="preserve">“Sampling adults by animal bait catches and by animal-baited traps,”</w:t>
        </w:r>
        <w:r>
          <w:rPr>
            <w:rStyle w:val="Hyperlink"/>
          </w:rPr>
          <w:t xml:space="preserve"> </w:t>
        </w:r>
        <w:r>
          <w:rPr>
            <w:rStyle w:val="Hyperlink"/>
          </w:rPr>
          <w:t xml:space="preserve">2008</w:t>
        </w:r>
      </w:hyperlink>
      <w:r>
        <w:t xml:space="preserve">)</w:t>
      </w:r>
      <w:r>
        <w:t xml:space="preserve">, de 17h00 à 09h00, à l’intérieur et à l’extérieur des habitations, à raison de quatre sites (habitations) par village. Ainsi, dans la zone de Korhogo (CI), un total de 2048 nuits-homme de capture a été réalisé (32 villages * 8 enquêtes entomologiques * 4 points de collecte * 2 lieux); tandis que dans la zone de Diébougou (BF), un total de 1512 nuits-homme de capture a été réalisé (27 villages * 7 enquêtes entomologiques * 2 points de collecte * 2 lieux). Au total, cela représente environ 52000 heures de collecte effectuées dans le cadre du projet REACT. Les anophèles ont été identifiés à l’aide de clés morphologiques</w:t>
      </w:r>
      <w:r>
        <w:t xml:space="preserve"> </w:t>
      </w:r>
      <w:r>
        <w:t xml:space="preserve">(</w:t>
      </w:r>
      <w:hyperlink w:anchor="ref-gillies_anophelinae_1968">
        <w:r>
          <w:rPr>
            <w:rStyle w:val="Hyperlink"/>
          </w:rPr>
          <w:t xml:space="preserve">Gillies &amp; B. De Meillon, 1968</w:t>
        </w:r>
      </w:hyperlink>
      <w:r>
        <w:t xml:space="preserve">;</w:t>
      </w:r>
      <w:r>
        <w:t xml:space="preserve"> </w:t>
      </w:r>
      <w:hyperlink w:anchor="ref-gillies_supplement_1987">
        <w:r>
          <w:rPr>
            <w:rStyle w:val="Hyperlink"/>
          </w:rPr>
          <w:t xml:space="preserve">Gillies &amp; Coetzee, 1987</w:t>
        </w:r>
      </w:hyperlink>
      <w:r>
        <w:t xml:space="preserve">)</w:t>
      </w:r>
      <w:r>
        <w:t xml:space="preserve">. Tous les individus appartenant au groupe</w:t>
      </w:r>
      <w:r>
        <w:t xml:space="preserve"> </w:t>
      </w:r>
      <w:r>
        <w:rPr>
          <w:iCs/>
          <w:i/>
        </w:rPr>
        <w:t xml:space="preserve">Anopheles funestus</w:t>
      </w:r>
      <w:r>
        <w:t xml:space="preserve"> </w:t>
      </w:r>
      <w:r>
        <w:t xml:space="preserve">(dans les deux zones d’étude) et au complexe</w:t>
      </w:r>
      <w:r>
        <w:t xml:space="preserve"> </w:t>
      </w:r>
      <w:r>
        <w:rPr>
          <w:iCs/>
          <w:i/>
        </w:rPr>
        <w:t xml:space="preserve">Anopheles gambiae</w:t>
      </w:r>
      <w:r>
        <w:t xml:space="preserve"> </w:t>
      </w:r>
      <w:r>
        <w:t xml:space="preserve">(sur la zone burkinabé uniquement) ont été identifiés à l’espèce par PCR</w:t>
      </w:r>
      <w:r>
        <w:t xml:space="preserve"> </w:t>
      </w:r>
      <w:r>
        <w:t xml:space="preserve">(</w:t>
      </w:r>
      <w:hyperlink w:anchor="ref-cohuet_isolation_2002">
        <w:r>
          <w:rPr>
            <w:rStyle w:val="Hyperlink"/>
          </w:rPr>
          <w:t xml:space="preserve">Cohuet et al., 2002</w:t>
        </w:r>
      </w:hyperlink>
      <w:r>
        <w:t xml:space="preserve">;</w:t>
      </w:r>
      <w:r>
        <w:t xml:space="preserve"> </w:t>
      </w:r>
      <w:hyperlink w:anchor="ref-koekemoer_cocktail_2002">
        <w:r>
          <w:rPr>
            <w:rStyle w:val="Hyperlink"/>
          </w:rPr>
          <w:t xml:space="preserve">Koekemoer, Kamau, Hunt, &amp; Coetzee, 2002</w:t>
        </w:r>
      </w:hyperlink>
      <w:r>
        <w:t xml:space="preserve">)</w:t>
      </w:r>
      <w:r>
        <w:t xml:space="preserve">. Sur la zone ivoirienne, en raison du très grand nombre d’</w:t>
      </w:r>
      <w:r>
        <w:rPr>
          <w:iCs/>
          <w:i/>
        </w:rPr>
        <w:t xml:space="preserve">An. gambiae s.l.</w:t>
      </w:r>
      <w:r>
        <w:t xml:space="preserve"> </w:t>
      </w:r>
      <w:r>
        <w:t xml:space="preserve">collectés, un sous-échantillon de ces individus (sélectionnés aléatoirement dans l’espace et le temps) a été identifié à l’espèce. Enfin, les mutations de la cible L1014F (</w:t>
      </w:r>
      <w:r>
        <w:rPr>
          <w:iCs/>
          <w:i/>
        </w:rPr>
        <w:t xml:space="preserve">kdr-w</w:t>
      </w:r>
      <w:r>
        <w:t xml:space="preserve">), L1014S (</w:t>
      </w:r>
      <w:r>
        <w:rPr>
          <w:iCs/>
          <w:i/>
        </w:rPr>
        <w:t xml:space="preserve">kdr-e</w:t>
      </w:r>
      <w:r>
        <w:t xml:space="preserve">) et G119S (</w:t>
      </w:r>
      <w:r>
        <w:rPr>
          <w:iCs/>
          <w:i/>
        </w:rPr>
        <w:t xml:space="preserve">ace-1</w:t>
      </w:r>
      <w:r>
        <w:t xml:space="preserve">) ont été détectées par PCR sur tous les</w:t>
      </w:r>
      <w:r>
        <w:t xml:space="preserve"> </w:t>
      </w:r>
      <w:r>
        <w:rPr>
          <w:iCs/>
          <w:i/>
        </w:rPr>
        <w:t xml:space="preserve">An. gambiae s.l.</w:t>
      </w:r>
      <w:r>
        <w:t xml:space="preserve"> </w:t>
      </w:r>
      <w:r>
        <w:t xml:space="preserve">et</w:t>
      </w:r>
      <w:r>
        <w:t xml:space="preserve"> </w:t>
      </w:r>
      <w:r>
        <w:rPr>
          <w:iCs/>
          <w:i/>
        </w:rPr>
        <w:t xml:space="preserve">An. coluzzii</w:t>
      </w:r>
      <w:r>
        <w:t xml:space="preserve"> </w:t>
      </w:r>
      <w:r>
        <w:t xml:space="preserve">collectés sur la zone burkinabé. Des descriptions détaillées des méthodes utilisées pour collecter ces données sont fournies dans</w:t>
      </w:r>
      <w:r>
        <w:t xml:space="preserve"> </w:t>
      </w:r>
      <w:r>
        <w:t xml:space="preserve">(</w:t>
      </w:r>
      <w:hyperlink w:anchor="ref-soma_anopheles_2020">
        <w:r>
          <w:rPr>
            <w:rStyle w:val="Hyperlink"/>
          </w:rPr>
          <w:t xml:space="preserve">Soma et al., 2020</w:t>
        </w:r>
      </w:hyperlink>
      <w:r>
        <w:t xml:space="preserve">;</w:t>
      </w:r>
      <w:r>
        <w:t xml:space="preserve"> </w:t>
      </w:r>
      <w:hyperlink w:anchor="ref-zogo_anopheles_2019">
        <w:r>
          <w:rPr>
            <w:rStyle w:val="Hyperlink"/>
          </w:rPr>
          <w:t xml:space="preserve">Zogo, Soma, et al., 2019</w:t>
        </w:r>
      </w:hyperlink>
      <w:r>
        <w:t xml:space="preserve">)</w:t>
      </w:r>
      <w:r>
        <w:t xml:space="preserve">.</w:t>
      </w:r>
      <w:r>
        <w:br/>
      </w:r>
    </w:p>
    <w:p>
      <w:pPr>
        <w:pStyle w:val="BodyText"/>
      </w:pPr>
      <w:r>
        <w:t xml:space="preserve">Le tableau</w:t>
      </w:r>
      <w:r>
        <w:t xml:space="preserve"> </w:t>
      </w:r>
      <w:r>
        <w:t xml:space="preserve">??</w:t>
      </w:r>
      <w:r>
        <w:t xml:space="preserve"> </w:t>
      </w:r>
      <w:r>
        <w:t xml:space="preserve">résume la composition spécifique des anophèles capturés sur chaque zone d’étude.</w:t>
      </w:r>
    </w:p>
    <w:bookmarkEnd w:id="448"/>
    <w:bookmarkStart w:id="449" w:name="humbehav-data"/>
    <w:p>
      <w:pPr>
        <w:pStyle w:val="Heading4"/>
      </w:pPr>
      <w:r>
        <w:t xml:space="preserve">Données de comportement humain relatif à l’utilisation de moustiquaires et aux habitudes horaires nocturnes</w:t>
      </w:r>
    </w:p>
    <w:p>
      <w:pPr>
        <w:pStyle w:val="FirstParagraph"/>
      </w:pPr>
      <w:r>
        <w:t xml:space="preserve">Au total, cinq enquêtes de comportement humain (trois sur la zone de Diébougou, deux sur la zone de Korhogo) ont été menées. Les enquêtes ont été effectuées après la distribution des moustiquaires (voir figure</w:t>
      </w:r>
      <w:r>
        <w:t xml:space="preserve"> </w:t>
      </w:r>
      <w:r>
        <w:t xml:space="preserve">24</w:t>
      </w:r>
      <w:r>
        <w:t xml:space="preserve">) et couvrent au mieux les conditions climatiques typiques des zones d’étude. Pour chaque enquête, une quinzaine de ménages a été séléctionnée aléatoirement, et pour chacun de ces ménages trois personnes (maximum) appartenant à chacun des trois groupes d’âge suivants ont été aléatoirement séléctionnées : 0–5 ans, 6–17 ans, et supérieur ou égal à 18 ans. Le chef du ménage a ensuite été questionné sur l’heure à laquelle chaque personne sélectionnée, la nuit précédant l’enquête, est entrée (le soir) et sortie (le matin) de i) l’habitation, et ii) son espace de sommeil éventuellement protégé par une MIILDA. Les ménages pour ces enquêtes ont été sélectionnés indépendamment de ceux des enquêtes entomologiques. Le protocole de collecte de ces données est plus largement détaillé dans le chapitre 4.</w:t>
      </w:r>
    </w:p>
    <w:bookmarkEnd w:id="449"/>
    <w:bookmarkStart w:id="453" w:name="Xb2f2b58f7494a1469046671b6261b053adaf419"/>
    <w:p>
      <w:pPr>
        <w:pStyle w:val="Heading4"/>
      </w:pPr>
      <w:r>
        <w:t xml:space="preserve">Données de micro-climat au cours des collectes entomologiques</w:t>
      </w:r>
    </w:p>
    <w:p>
      <w:pPr>
        <w:pStyle w:val="FirstParagraph"/>
      </w:pPr>
      <w:r>
        <w:t xml:space="preserve">Les paramètres climatiques et environnementaux mesurés simultanément à chaque collecte entomologique étaient les suivants : la température, l’humidité relative, la luminosité et la pression atmosphérique. Les instruments utilisés pour mesurer ces données étaient les suivants : pour la température et l’humidité relative : capteur Hygro Buttons 23 [Proges Plus DAL0084] (résolution temporelle (RT) : 15 minutes) ; pour la luminosité : capteur HOBO Pendant® Temperature/Light 8K (RT : 15 minutes) ; pour la pression atmosphérique : capteur Extech SD700 (RT : 10 minutes). Les capteurs Hygro et Hobo étaient positionnés à l’intérieur des maisons où les captures étaient effectuées (au milieu de la pièce) et à l’extérieur (près du point captureur). Le baromètre était positionné au centre du village.</w:t>
      </w:r>
      <w:r>
        <w:br/>
      </w:r>
    </w:p>
    <w:p>
      <w:pPr>
        <w:pStyle w:val="BodyText"/>
      </w:pPr>
      <w:r>
        <w:t xml:space="preserve">Nous avons complété ces paramètres mesurés sur le terrain avec des données issues de produits satellitaires ou de modèles météorologiques disponibles à des résolutions spatiales bien plus large. En particulier, nous avons extrait i) les précipitations semi-horaires des produits GPM</w:t>
      </w:r>
      <w:r>
        <w:t xml:space="preserve"> </w:t>
      </w:r>
      <w:r>
        <w:t xml:space="preserve">(</w:t>
      </w:r>
      <w:hyperlink w:anchor="Xc08e57118bddaa764cd6c8a5fc94486152b5744">
        <w:r>
          <w:rPr>
            <w:rStyle w:val="Hyperlink"/>
          </w:rPr>
          <w:t xml:space="preserve">At NASA GSFC, 2019</w:t>
        </w:r>
      </w:hyperlink>
      <w:r>
        <w:t xml:space="preserve">)</w:t>
      </w:r>
      <w:r>
        <w:t xml:space="preserve"> </w:t>
      </w:r>
      <w:r>
        <w:t xml:space="preserve">(voir section suivante) (résolution spatiale : 10 km, résolution temorelle : 30 minutes), et ii) la vitesse du vent des produits ERA-5 (résolution spatiale : 28 km, résolution temorelle : 1 heure).</w:t>
      </w:r>
      <w:r>
        <w:br/>
      </w:r>
    </w:p>
    <w:p>
      <w:pPr>
        <w:pStyle w:val="BodyText"/>
      </w:pPr>
      <w:r>
        <w:t xml:space="preserve">La figure</w:t>
      </w:r>
      <w:r>
        <w:t xml:space="preserve"> </w:t>
      </w:r>
      <w:r>
        <w:t xml:space="preserve">41</w:t>
      </w:r>
      <w:r>
        <w:t xml:space="preserve"> </w:t>
      </w:r>
      <w:r>
        <w:t xml:space="preserve">montre les séries temporelles horaires de température, humidité, luminosité et pression atmosphérique pour chaque enquête entomologique sur chaque zone d’étude.</w:t>
      </w:r>
    </w:p>
    <w:p>
      <w:pPr>
        <w:pStyle w:val="CaptionedFigure"/>
      </w:pPr>
      <w:r>
        <w:drawing>
          <wp:inline>
            <wp:extent cx="5334000" cy="4606315"/>
            <wp:effectExtent b="0" l="0" r="0" t="0"/>
            <wp:docPr descr="Figure 41: Conditions micro-climatiques horaires au cours des enquêtes entomologiques" title="" id="451" name="Picture"/>
            <a:graphic>
              <a:graphicData uri="http://schemas.openxmlformats.org/drawingml/2006/picture">
                <pic:pic>
                  <pic:nvPicPr>
                    <pic:cNvPr descr="figure/microclimate.pdf" id="452" name="Picture"/>
                    <pic:cNvPicPr>
                      <a:picLocks noChangeArrowheads="1" noChangeAspect="1"/>
                    </pic:cNvPicPr>
                  </pic:nvPicPr>
                  <pic:blipFill>
                    <a:blip r:embed="rId450"/>
                    <a:stretch>
                      <a:fillRect/>
                    </a:stretch>
                  </pic:blipFill>
                  <pic:spPr bwMode="auto">
                    <a:xfrm>
                      <a:off x="0" y="0"/>
                      <a:ext cx="5334000" cy="4606315"/>
                    </a:xfrm>
                    <a:prstGeom prst="rect">
                      <a:avLst/>
                    </a:prstGeom>
                    <a:noFill/>
                    <a:ln w="9525">
                      <a:noFill/>
                      <a:headEnd/>
                      <a:tailEnd/>
                    </a:ln>
                  </pic:spPr>
                </pic:pic>
              </a:graphicData>
            </a:graphic>
          </wp:inline>
        </w:drawing>
      </w:r>
    </w:p>
    <w:p>
      <w:pPr>
        <w:pStyle w:val="ImageCaption"/>
      </w:pPr>
      <w:r>
        <w:t xml:space="preserve">Figure 41: Conditions micro-climatiques horaires au cours des enquêtes entomologiques</w:t>
      </w:r>
    </w:p>
    <w:bookmarkEnd w:id="453"/>
    <w:bookmarkStart w:id="454" w:name="pop-data"/>
    <w:p>
      <w:pPr>
        <w:pStyle w:val="Heading4"/>
      </w:pPr>
      <w:r>
        <w:t xml:space="preserve">Données de population et localisation des habitations</w:t>
      </w:r>
    </w:p>
    <w:p>
      <w:pPr>
        <w:pStyle w:val="FirstParagraph"/>
      </w:pPr>
      <w:r>
        <w:t xml:space="preserve">Afin de décrire l’attractivité et la pénétrabilité des des ménages pour les vecteurs du paludisme, nous avons recensé la population et enregistré l’emplacement géographique des habitations dans les villages, au cours du recensement de la population en début de projet, à l’aide d’un récépteur Global Positioning System (GPS).</w:t>
      </w:r>
    </w:p>
    <w:bookmarkEnd w:id="454"/>
    <w:bookmarkEnd w:id="455"/>
    <w:bookmarkStart w:id="466" w:name="annex-landcover"/>
    <w:p>
      <w:pPr>
        <w:pStyle w:val="Heading1"/>
      </w:pPr>
      <w:r>
        <w:t xml:space="preserve">Détails sur les travaux de cartographie de l’occupation du sol</w:t>
      </w:r>
    </w:p>
    <w:p>
      <w:pPr>
        <w:pStyle w:val="FirstParagraph"/>
      </w:pPr>
      <w:r>
        <w:rPr>
          <w:iCs/>
          <w:i/>
        </w:rPr>
        <w:t xml:space="preserve">Cette annexe détaille les travaux de cartographie de l’occupation du sol sur les deux zones d’étude du projet REACT.</w:t>
      </w:r>
    </w:p>
    <w:bookmarkStart w:id="460" w:name="details-annex-landcover"/>
    <w:p>
      <w:pPr>
        <w:pStyle w:val="Heading4"/>
      </w:pPr>
      <w:r>
        <w:t xml:space="preserve">Détail des traitements</w:t>
      </w:r>
    </w:p>
    <w:p>
      <w:pPr>
        <w:pStyle w:val="FirstParagraph"/>
      </w:pPr>
      <w:r>
        <w:rPr>
          <w:iCs/>
          <w:i/>
        </w:rPr>
        <w:t xml:space="preserve">Acquisition des produits satellitaires</w:t>
      </w:r>
      <w:r>
        <w:t xml:space="preserve">. Nous avons aquis les produits satellitaires suivants sur chaque zone d’étude :</w:t>
      </w:r>
    </w:p>
    <w:p>
      <w:pPr>
        <w:numPr>
          <w:ilvl w:val="0"/>
          <w:numId w:val="1027"/>
        </w:numPr>
        <w:pStyle w:val="Compact"/>
      </w:pPr>
      <w:r>
        <w:rPr>
          <w:iCs/>
          <w:i/>
        </w:rPr>
        <w:t xml:space="preserve">images SPOT 6 et 7</w:t>
      </w:r>
      <w:r>
        <w:t xml:space="preserve"> </w:t>
      </w:r>
      <w:r>
        <w:t xml:space="preserve">(Satellite Pour l’Observation de la Terre) : images optiques à Très Haute Résolution Spatiale (THRS). Dates d’aquisition par le(s) satellite(s) : octobre 2017. Résolution spatiale : 1.6 m en panchromatique et 6.3 m en multispectral. Nombre de bandes spectrales : 4. Ces images ont été commandées via le dispositif Geosud, un projet (ANR-10-EQPX-20) du programme</w:t>
      </w:r>
      <w:r>
        <w:t xml:space="preserve"> </w:t>
      </w:r>
      <w:r>
        <w:t xml:space="preserve">“</w:t>
      </w:r>
      <w:r>
        <w:t xml:space="preserve">Investissements d’Avenir</w:t>
      </w:r>
      <w:r>
        <w:t xml:space="preserve">”</w:t>
      </w:r>
      <w:r>
        <w:t xml:space="preserve"> </w:t>
      </w:r>
      <w:r>
        <w:t xml:space="preserve">géré par le Centre National de la Recherche Scientifique.</w:t>
      </w:r>
    </w:p>
    <w:p>
      <w:pPr>
        <w:numPr>
          <w:ilvl w:val="0"/>
          <w:numId w:val="1027"/>
        </w:numPr>
        <w:pStyle w:val="Compact"/>
      </w:pPr>
      <w:r>
        <w:rPr>
          <w:iCs/>
          <w:i/>
        </w:rPr>
        <w:t xml:space="preserve">images Sentinel-2</w:t>
      </w:r>
      <w:r>
        <w:t xml:space="preserve"> </w:t>
      </w:r>
      <w:r>
        <w:t xml:space="preserve">: images optiques à Haute Résolution Spatiale (HRS). Dates d’aquisition par le(s) satellite(s) : novembre / décembre 2018 (corresponsant aux dates des campagnes d’acquisition de vérités terrain, voir ci-dessous). Résolution spatiale : 10 m à 60 m selon les bandes. Nombre de bandes spectrales : 10. Ces images libres d’accès ont été téléchargées sur le portail Copernicus SciHub de l’Agence spatiale européenne. L’intérêt d’utiliser des images Sentinel-2 en complément des images SPOT 6/7 est double : i) diversifier la nature et augmenter le nombre des variables prédictives (les images Sentinel-2 contiennent une information spectrale plus riche que les images SPOT-6 (10 bandes contre 4 bandes), et ii) intégrer des images acquises simultanément aux campagnes d’acquisition des vérités terrain.</w:t>
      </w:r>
    </w:p>
    <w:p>
      <w:pPr>
        <w:numPr>
          <w:ilvl w:val="0"/>
          <w:numId w:val="1027"/>
        </w:numPr>
        <w:pStyle w:val="Compact"/>
      </w:pPr>
      <w:r>
        <w:rPr>
          <w:iCs/>
          <w:i/>
        </w:rPr>
        <w:t xml:space="preserve">Shuttle Radar Topography Mission (SRTM)</w:t>
      </w:r>
      <w:r>
        <w:t xml:space="preserve"> </w:t>
      </w:r>
      <w:r>
        <w:t xml:space="preserve">(</w:t>
      </w:r>
      <w:hyperlink w:anchor="ref-nasa_jpl_nasa_2013">
        <w:r>
          <w:rPr>
            <w:rStyle w:val="Hyperlink"/>
          </w:rPr>
          <w:t xml:space="preserve">JPL, 2013</w:t>
        </w:r>
      </w:hyperlink>
      <w:r>
        <w:t xml:space="preserve">)</w:t>
      </w:r>
      <w:r>
        <w:t xml:space="preserve"> </w:t>
      </w:r>
      <w:r>
        <w:t xml:space="preserve">: Modèle Numérique de Terrain (MNT) procurant la valeur de l’altitude en tout point du globe. Résolution spatiale : 30 m. Ce MNT libre d’accès a até téléchargé sur portail EarthExplorer (</w:t>
      </w:r>
      <w:hyperlink r:id="rId456">
        <w:r>
          <w:rPr>
            <w:rStyle w:val="Hyperlink"/>
          </w:rPr>
          <w:t xml:space="preserve">https://earthexplorer.usgs.gov/</w:t>
        </w:r>
      </w:hyperlink>
      <w:r>
        <w:t xml:space="preserve">).</w:t>
      </w:r>
    </w:p>
    <w:p>
      <w:pPr>
        <w:pStyle w:val="FirstParagraph"/>
      </w:pPr>
      <w:r>
        <w:rPr>
          <w:iCs/>
          <w:i/>
        </w:rPr>
        <w:t xml:space="preserve">Constitution du jeu de données d’apprentissage et de validation</w:t>
      </w:r>
      <w:r>
        <w:t xml:space="preserve">. Nous avons mené une campagne d’acquisition de vérités terrain sur chacune des zones en novembre et décembre 2018 (10 jours sur la zone burkinabé, 14 jours sur la zone ivoirienne). Nous avons établi les classes d’occupation du sol dans chacune des zones sur la base de recherches bibliographiques sur les types de paysages potentiellement rencontrés dans nos zones</w:t>
      </w:r>
      <w:r>
        <w:t xml:space="preserve"> </w:t>
      </w:r>
      <w:r>
        <w:t xml:space="preserve">(</w:t>
      </w:r>
      <w:hyperlink w:anchor="ref-aubreville_accord_1957">
        <w:r>
          <w:rPr>
            <w:rStyle w:val="Hyperlink"/>
          </w:rPr>
          <w:t xml:space="preserve">Aubréville, 1957</w:t>
        </w:r>
      </w:hyperlink>
      <w:r>
        <w:t xml:space="preserve">;</w:t>
      </w:r>
      <w:r>
        <w:t xml:space="preserve"> </w:t>
      </w:r>
      <w:hyperlink w:anchor="ref-cilss_2016_landscapes_nodate">
        <w:r>
          <w:rPr>
            <w:rStyle w:val="Hyperlink"/>
          </w:rPr>
          <w:t xml:space="preserve">CILSS, 2016</w:t>
        </w:r>
      </w:hyperlink>
      <w:r>
        <w:t xml:space="preserve">;</w:t>
      </w:r>
      <w:r>
        <w:t xml:space="preserve"> </w:t>
      </w:r>
      <w:hyperlink w:anchor="ref-oss_landcover_bf">
        <w:r>
          <w:rPr>
            <w:rStyle w:val="Hyperlink"/>
          </w:rPr>
          <w:t xml:space="preserve">OSS, 2015</w:t>
        </w:r>
      </w:hyperlink>
      <w:r>
        <w:t xml:space="preserve">)</w:t>
      </w:r>
      <w:r>
        <w:t xml:space="preserve"> </w:t>
      </w:r>
      <w:r>
        <w:t xml:space="preserve">et de nos observations du paysage sur le terrain. Nous avons collecté un minimum de 20 parcelles par classe, en tentant de les répartir au mieux sur l’étendue de chacune des zones. Sur le terrain, nous avons collecté les données à l’aide de l’application QField, compatible avec le logiciel de Système d’Information Géographique QGIS</w:t>
      </w:r>
      <w:r>
        <w:t xml:space="preserve"> </w:t>
      </w:r>
      <w:r>
        <w:t xml:space="preserve">(</w:t>
      </w:r>
      <w:hyperlink w:anchor="ref-qgis_development_team_qgis_2021">
        <w:r>
          <w:rPr>
            <w:rStyle w:val="Hyperlink"/>
          </w:rPr>
          <w:t xml:space="preserve">QGIS Development Team, 2021</w:t>
        </w:r>
      </w:hyperlink>
      <w:r>
        <w:t xml:space="preserve">)</w:t>
      </w:r>
      <w:r>
        <w:t xml:space="preserve">. Nous avons ensuite complété le jeu de données en y ajoutant quelques parcelles par photo-interprétation d’images satellitaires très haute résolution (Google Earth et Spot 6/7).</w:t>
      </w:r>
      <w:r>
        <w:br/>
      </w:r>
    </w:p>
    <w:p>
      <w:pPr>
        <w:pStyle w:val="BodyText"/>
      </w:pPr>
      <w:r>
        <w:rPr>
          <w:iCs/>
          <w:i/>
        </w:rPr>
        <w:t xml:space="preserve">Prétraitements des produits satellitaires</w:t>
      </w:r>
      <w:r>
        <w:t xml:space="preserve">. Les images SPOT ont été préparées selon la suite d’opérations suivante : fusion des tuiles de l’image panchromatique (PAN); conversion des images panchromatiques et multispectrales (MS) en valeurs de réflectance</w:t>
      </w:r>
      <w:r>
        <w:t xml:space="preserve"> </w:t>
      </w:r>
      <w:r>
        <w:t xml:space="preserve">‘</w:t>
      </w:r>
      <w:r>
        <w:t xml:space="preserve">Top-of-Atmosphere</w:t>
      </w:r>
      <w:r>
        <w:t xml:space="preserve">’</w:t>
      </w:r>
      <w:r>
        <w:t xml:space="preserve">; orthorectification des images PAN et MS en utilisant les informations disponibles dans les métadonnées des fichiers ainsi que le MNT SRTM (dont la résolution spatiale est suffisante pour une orthorectification de qualité au regard du profil de nos zones, peu accidentées); découpage des images sur l’étendue de nos zones d’études uniquement;</w:t>
      </w:r>
      <w:r>
        <w:t xml:space="preserve"> </w:t>
      </w:r>
      <w:r>
        <w:t xml:space="preserve">‘</w:t>
      </w:r>
      <w:r>
        <w:t xml:space="preserve">pansharpening</w:t>
      </w:r>
      <w:r>
        <w:t xml:space="preserve">’</w:t>
      </w:r>
      <w:r>
        <w:t xml:space="preserve"> </w:t>
      </w:r>
      <w:r>
        <w:t xml:space="preserve">de l’image MS utilisant l’image PAN; mosaïquage des images (uniquement dans le cas de la zone de Diébougou, qui était constituée de deux images SPOT). Les produits Sentinel 2 et SRTM, de leur côté, ont nécéssité relativement peu de prétraitements. Nous avons reprojeté le MNT originellement fourni en WGS84 sur la zone UTM 30 Nord (zone UTM correspondant à nos zones d’étude), mosaiqué les images (dans le cas où nos zones d’études étaient couvertes par plusieurs tuiles) et découpé les produits afin de les conserver uniquement sur l’étendue de nos zones d’études.</w:t>
      </w:r>
      <w:r>
        <w:br/>
      </w:r>
    </w:p>
    <w:p>
      <w:pPr>
        <w:pStyle w:val="BodyText"/>
      </w:pPr>
      <w:r>
        <w:rPr>
          <w:iCs/>
          <w:i/>
        </w:rPr>
        <w:t xml:space="preserve">Segmentation</w:t>
      </w:r>
      <w:r>
        <w:t xml:space="preserve">. Nous avons ensuite segmenté les images SPOT en utilisant un algorithme de croissance de région avec le critère d’homogénéité de Baatz and Shape</w:t>
      </w:r>
      <w:r>
        <w:t xml:space="preserve"> </w:t>
      </w:r>
      <w:r>
        <w:t xml:space="preserve">(</w:t>
      </w:r>
      <w:hyperlink w:anchor="ref-baatz_schape_2000">
        <w:r>
          <w:rPr>
            <w:rStyle w:val="Hyperlink"/>
          </w:rPr>
          <w:t xml:space="preserve">Baatz &amp; Schape, 2000</w:t>
        </w:r>
      </w:hyperlink>
      <w:r>
        <w:t xml:space="preserve">)</w:t>
      </w:r>
      <w:r>
        <w:t xml:space="preserve">. Nous avons testé plusieurs paramétrisations, à la fois de l’algorithme (paramètres d’échelle, spectraux et de compacité) et des bandes spectrales utilisées pour la segmentation (bandes spectrales de l’image SPOT pan-sharpenées, bandes spectrales + indices spectraux type NDVI, etc.). Basé sur une approche visuelle des résultats de la segmentation (en les superposant à l’image SPOT 6/7), nous avons finalement retenu les paramètres suivants :</w:t>
      </w:r>
    </w:p>
    <w:p>
      <w:pPr>
        <w:numPr>
          <w:ilvl w:val="0"/>
          <w:numId w:val="1028"/>
        </w:numPr>
        <w:pStyle w:val="Compact"/>
      </w:pPr>
      <w:r>
        <w:t xml:space="preserve">Bandes spectrales utilisées pour la segmentation : les 4 bandes spectrales de l’image SPOT 6/7 pan-sharpenée, chacune avec un poids égal dans la segmentation ;</w:t>
      </w:r>
    </w:p>
    <w:p>
      <w:pPr>
        <w:numPr>
          <w:ilvl w:val="0"/>
          <w:numId w:val="1028"/>
        </w:numPr>
        <w:pStyle w:val="Compact"/>
      </w:pPr>
      <w:r>
        <w:t xml:space="preserve">Paramètres de segmentation pour la zone de Diébougou (BF) : seuil = 100 ; valeur pour le poids de forme = 0.1 ; valeur pour le poids spectral = 0.9</w:t>
      </w:r>
    </w:p>
    <w:p>
      <w:pPr>
        <w:numPr>
          <w:ilvl w:val="0"/>
          <w:numId w:val="1028"/>
        </w:numPr>
        <w:pStyle w:val="Compact"/>
      </w:pPr>
      <w:r>
        <w:t xml:space="preserve">Paramètres de segmentation pour la zone de Korhogo (CI) : seuil = 160 ; valeur pour le poids de forme = 0.1 ; valeur pour le poids spectral = 0.8</w:t>
      </w:r>
    </w:p>
    <w:p>
      <w:pPr>
        <w:pStyle w:val="FirstParagraph"/>
      </w:pPr>
      <w:r>
        <w:t xml:space="preserve">Nous avons vectorisé le jeu de données en sortie de l’algorithme afin d’avoir une version vecteur des objets segmentés. Puis, nous avons intersecté la base de données d’apprentissage (parcelles d’occupation du sol recueillies sur le terrain) avec la couche résultant de la segmentation, dans l’objectif d’obtenir des parcelles d’apprentissage plus homogènes du point de vue des critères de segmentation. Cette étape a sensiblement fait croître le nombre de parcelles d’entraînement - les objets issus de la segmentation étant globalement plus fragmentés et petits que les parcelles relevées sur le terrain. C’est cette couche de données d’apprentissage qui sera utilisée pour la suite du travail.</w:t>
      </w:r>
      <w:r>
        <w:br/>
      </w:r>
    </w:p>
    <w:p>
      <w:pPr>
        <w:pStyle w:val="BodyText"/>
      </w:pPr>
      <w:r>
        <w:rPr>
          <w:iCs/>
          <w:i/>
        </w:rPr>
        <w:t xml:space="preserve">Constitution des variables prédictives</w:t>
      </w:r>
      <w:r>
        <w:t xml:space="preserve">. Afin de générer les variables prédictives, nous avons extrait ou calculé les couches géographiques suivantes (sous forme de fichiers raster) :</w:t>
      </w:r>
    </w:p>
    <w:p>
      <w:pPr>
        <w:numPr>
          <w:ilvl w:val="0"/>
          <w:numId w:val="1029"/>
        </w:numPr>
        <w:pStyle w:val="Compact"/>
      </w:pPr>
      <w:r>
        <w:t xml:space="preserve">Couches issues de l’image SPOT 6/7 :</w:t>
      </w:r>
    </w:p>
    <w:p>
      <w:pPr>
        <w:numPr>
          <w:ilvl w:val="1"/>
          <w:numId w:val="1030"/>
        </w:numPr>
        <w:pStyle w:val="Compact"/>
      </w:pPr>
      <w:r>
        <w:t xml:space="preserve">chacune des 4 bandes spectrales de la THRS pan-sharpenée ;</w:t>
      </w:r>
    </w:p>
    <w:p>
      <w:pPr>
        <w:numPr>
          <w:ilvl w:val="1"/>
          <w:numId w:val="1030"/>
        </w:numPr>
        <w:pStyle w:val="Compact"/>
      </w:pPr>
      <w:r>
        <w:t xml:space="preserve">image panchromatique ;</w:t>
      </w:r>
    </w:p>
    <w:p>
      <w:pPr>
        <w:numPr>
          <w:ilvl w:val="1"/>
          <w:numId w:val="1030"/>
        </w:numPr>
        <w:pStyle w:val="Compact"/>
      </w:pPr>
      <w:r>
        <w:t xml:space="preserve">indices spectraux suivants: NDVI, NDWI2, BRI ;</w:t>
      </w:r>
    </w:p>
    <w:p>
      <w:pPr>
        <w:numPr>
          <w:ilvl w:val="1"/>
          <w:numId w:val="1030"/>
        </w:numPr>
        <w:pStyle w:val="Compact"/>
      </w:pPr>
      <w:r>
        <w:t xml:space="preserve">indices de texture suivants, extraits de l’image PAN : energie, anthropie, correlation, inertie, haralick correlation, moyenne. Chacun des indices a été calculé sur 3 tailles de fenêtres glissantes : 5 pixels, 9 pixels, 17 pixels ;</w:t>
      </w:r>
    </w:p>
    <w:p>
      <w:pPr>
        <w:numPr>
          <w:ilvl w:val="0"/>
          <w:numId w:val="1029"/>
        </w:numPr>
        <w:pStyle w:val="Compact"/>
      </w:pPr>
      <w:r>
        <w:t xml:space="preserve">Couches issus de l’image Sentinel-2 :</w:t>
      </w:r>
    </w:p>
    <w:p>
      <w:pPr>
        <w:numPr>
          <w:ilvl w:val="1"/>
          <w:numId w:val="1031"/>
        </w:numPr>
        <w:pStyle w:val="Compact"/>
      </w:pPr>
      <w:r>
        <w:t xml:space="preserve">chacune des 10 bandes spectrales ;</w:t>
      </w:r>
    </w:p>
    <w:p>
      <w:pPr>
        <w:numPr>
          <w:ilvl w:val="1"/>
          <w:numId w:val="1031"/>
        </w:numPr>
        <w:pStyle w:val="Compact"/>
      </w:pPr>
      <w:r>
        <w:t xml:space="preserve">indices spectraux suivants : NDVI, NDWI, BRI, MNDWI, MNDVI, RNDVI (ces trois derniers indices sont des variantes des indices classiques NDWI et NDVI qui utilisent les bandes spectrales dans le moyen infra-rouge) ;</w:t>
      </w:r>
    </w:p>
    <w:p>
      <w:pPr>
        <w:numPr>
          <w:ilvl w:val="0"/>
          <w:numId w:val="1029"/>
        </w:numPr>
        <w:pStyle w:val="Compact"/>
      </w:pPr>
      <w:r>
        <w:t xml:space="preserve">Couches issues du MNT SRTM :</w:t>
      </w:r>
    </w:p>
    <w:p>
      <w:pPr>
        <w:numPr>
          <w:ilvl w:val="1"/>
          <w:numId w:val="1032"/>
        </w:numPr>
        <w:pStyle w:val="Compact"/>
      </w:pPr>
      <w:r>
        <w:t xml:space="preserve">altitude ;</w:t>
      </w:r>
    </w:p>
    <w:p>
      <w:pPr>
        <w:numPr>
          <w:ilvl w:val="1"/>
          <w:numId w:val="1032"/>
        </w:numPr>
        <w:pStyle w:val="Compact"/>
      </w:pPr>
      <w:r>
        <w:t xml:space="preserve">pente ;</w:t>
      </w:r>
    </w:p>
    <w:p>
      <w:pPr>
        <w:numPr>
          <w:ilvl w:val="1"/>
          <w:numId w:val="1032"/>
        </w:numPr>
        <w:pStyle w:val="Compact"/>
      </w:pPr>
      <w:r>
        <w:t xml:space="preserve">réseau hydrographique théorique (couche vectorielle).</w:t>
      </w:r>
    </w:p>
    <w:p>
      <w:pPr>
        <w:pStyle w:val="FirstParagraph"/>
      </w:pPr>
      <w:r>
        <w:t xml:space="preserve">Au total, cela représentait ainsi 45 couches géographiques utilisables pour générer les variables prédictives. Nous avons calculé la moyenne et l’écart type des valeurs des pixels pour l’ensemble des indices préparées pour la classification sur chaque objet. Nous avons également calculé et ajouté les descripteurs contextuels suivants : i) la distance de chaque objet au réseau hydrographique théorique (calculé à partir du MNT, voir section</w:t>
      </w:r>
      <w:r>
        <w:t xml:space="preserve"> </w:t>
      </w:r>
      <w:r>
        <w:t xml:space="preserve">??</w:t>
      </w:r>
      <w:r>
        <w:t xml:space="preserve">), et ii) un ensemble d’indices liés à la forme des objets (aire, périmètre, etc.). La centaine de variables ainsi générée constituait les prédicteurs pour la classification à suivre.</w:t>
      </w:r>
      <w:r>
        <w:br/>
      </w:r>
    </w:p>
    <w:p>
      <w:pPr>
        <w:pStyle w:val="BodyText"/>
      </w:pPr>
      <w:r>
        <w:rPr>
          <w:iCs/>
          <w:i/>
        </w:rPr>
        <w:t xml:space="preserve">Classification</w:t>
      </w:r>
      <w:r>
        <w:t xml:space="preserve">. Nous avons ensuite entrainé un modèle de forêts aléatoires sur le jeu de données d’entrainement. Nous avons généré la matrice de confusion en utilisant la procédure de validation interne aux forêts aléatoires (basée sur les</w:t>
      </w:r>
      <w:r>
        <w:t xml:space="preserve"> </w:t>
      </w:r>
      <w:r>
        <w:t xml:space="preserve">‘</w:t>
      </w:r>
      <w:r>
        <w:t xml:space="preserve">out-of-bag</w:t>
      </w:r>
      <w:r>
        <w:t xml:space="preserve">’</w:t>
      </w:r>
      <w:r>
        <w:t xml:space="preserve"> </w:t>
      </w:r>
      <w:r>
        <w:t xml:space="preserve">observations</w:t>
      </w:r>
      <w:r>
        <w:t xml:space="preserve"> </w:t>
      </w:r>
      <w:r>
        <w:t xml:space="preserve">(</w:t>
      </w:r>
      <w:hyperlink w:anchor="ref-Breiman1996OUTOFBAGE">
        <w:r>
          <w:rPr>
            <w:rStyle w:val="Hyperlink"/>
          </w:rPr>
          <w:t xml:space="preserve">Breiman, 1996</w:t>
        </w:r>
      </w:hyperlink>
      <w:r>
        <w:t xml:space="preserve">)</w:t>
      </w:r>
      <w:r>
        <w:t xml:space="preserve">). En se basant sur cette matrice, nous avons ensuite regroupé, dans le jeu de données d’entrainement, les classes d’occupation du sol dont la confusion était importante (par exemple, zones de culture de mil et de sorgho) ; en prenant cependant soin de conserver la distinction entre les différentes classes à priori favorables à la présence de gîtes larvaires (par exemple, zones marécageuses et rizicoles) ou à la résistance. Nous avons entrainé un modèle de forêt aléatoires sur cette nouvelle version du jeu de données d’entraînement puis l’avons utilisé pour prédire la classe d’occupation du sol sur chaque objet issu de la segmentation.</w:t>
      </w:r>
      <w:r>
        <w:br/>
      </w:r>
    </w:p>
    <w:p>
      <w:pPr>
        <w:pStyle w:val="BodyText"/>
      </w:pPr>
      <w:r>
        <w:rPr>
          <w:iCs/>
          <w:i/>
        </w:rPr>
        <w:t xml:space="preserve">Evaluation de la qualité de la classification</w:t>
      </w:r>
      <w:r>
        <w:t xml:space="preserve">. Comme précédemment, nous avons généré la matrice de confusion puis en avons extrait un indice de qualité de la classification (</w:t>
      </w:r>
      <w:r>
        <w:rPr>
          <w:iCs/>
          <w:i/>
        </w:rPr>
        <w:t xml:space="preserve">accuracy</w:t>
      </w:r>
      <w:r>
        <w:t xml:space="preserve"> </w:t>
      </w:r>
      <w:r>
        <w:t xml:space="preserve">(</w:t>
      </w:r>
      <w:hyperlink w:anchor="ref-cohen_coefficient_1960">
        <w:r>
          <w:rPr>
            <w:rStyle w:val="Hyperlink"/>
          </w:rPr>
          <w:t xml:space="preserve">Cohen, 1960</w:t>
        </w:r>
      </w:hyperlink>
      <w:r>
        <w:t xml:space="preserve">)</w:t>
      </w:r>
      <w:r>
        <w:t xml:space="preserve">) mesurant la proportion d’objets correctement classés.</w:t>
      </w:r>
      <w:r>
        <w:br/>
      </w:r>
    </w:p>
    <w:p>
      <w:pPr>
        <w:pStyle w:val="BodyText"/>
      </w:pPr>
      <w:r>
        <w:t xml:space="preserve">Les différentes étapes de la classification sont résumées graphiquement dans la figure suivante (</w:t>
      </w:r>
      <w:r>
        <w:t xml:space="preserve">42</w:t>
      </w:r>
      <w:r>
        <w:t xml:space="preserve">).</w:t>
      </w:r>
    </w:p>
    <w:p>
      <w:pPr>
        <w:pStyle w:val="CaptionedFigure"/>
      </w:pPr>
      <w:r>
        <w:drawing>
          <wp:inline>
            <wp:extent cx="5334000" cy="10940269"/>
            <wp:effectExtent b="0" l="0" r="0" t="0"/>
            <wp:docPr descr="Figure 42: Etapes du processus de cartographie de l’occupation du sol par classification supervisée orientée objet d’images satellitaires" title="" id="458" name="Picture"/>
            <a:graphic>
              <a:graphicData uri="http://schemas.openxmlformats.org/drawingml/2006/picture">
                <pic:pic>
                  <pic:nvPicPr>
                    <pic:cNvPr descr="figure/obia_workflow.png" id="459" name="Picture"/>
                    <pic:cNvPicPr>
                      <a:picLocks noChangeArrowheads="1" noChangeAspect="1"/>
                    </pic:cNvPicPr>
                  </pic:nvPicPr>
                  <pic:blipFill>
                    <a:blip r:embed="rId457"/>
                    <a:stretch>
                      <a:fillRect/>
                    </a:stretch>
                  </pic:blipFill>
                  <pic:spPr bwMode="auto">
                    <a:xfrm>
                      <a:off x="0" y="0"/>
                      <a:ext cx="5334000" cy="10940269"/>
                    </a:xfrm>
                    <a:prstGeom prst="rect">
                      <a:avLst/>
                    </a:prstGeom>
                    <a:noFill/>
                    <a:ln w="9525">
                      <a:noFill/>
                      <a:headEnd/>
                      <a:tailEnd/>
                    </a:ln>
                  </pic:spPr>
                </pic:pic>
              </a:graphicData>
            </a:graphic>
          </wp:inline>
        </w:drawing>
      </w:r>
    </w:p>
    <w:p>
      <w:pPr>
        <w:pStyle w:val="ImageCaption"/>
      </w:pPr>
      <w:r>
        <w:t xml:space="preserve">Figure 42: Etapes du processus de cartographie de l’occupation du sol par classification supervisée orientée objet d’images satellitaires</w:t>
      </w:r>
    </w:p>
    <w:bookmarkEnd w:id="460"/>
    <w:bookmarkStart w:id="461" w:name="X0a94206bda96f286ccefc0372960eeacac05f90"/>
    <w:p>
      <w:pPr>
        <w:pStyle w:val="Heading4"/>
      </w:pPr>
      <w:r>
        <w:t xml:space="preserve">Définitions des classes d’occupation du sol</w:t>
      </w:r>
    </w:p>
    <w:bookmarkEnd w:id="461"/>
    <w:bookmarkStart w:id="465" w:name="X3ea8ff76d118ad3948ebd34a93cb5c5a1246404"/>
    <w:p>
      <w:pPr>
        <w:pStyle w:val="Heading4"/>
      </w:pPr>
      <w:r>
        <w:t xml:space="preserve">Photographies représentatives des principales classes d’occupation du sol rencontrées sur les zones d’étude</w:t>
      </w:r>
    </w:p>
    <w:p>
      <w:pPr>
        <w:pStyle w:val="CaptionedFigure"/>
      </w:pPr>
      <w:r>
        <w:drawing>
          <wp:inline>
            <wp:extent cx="5334000" cy="3955097"/>
            <wp:effectExtent b="0" l="0" r="0" t="0"/>
            <wp:docPr descr="Figure 43: Photographies représentatives des principales classes d’occupation du sol rencontrées sur les zones d’étude" title="" id="463" name="Picture"/>
            <a:graphic>
              <a:graphicData uri="http://schemas.openxmlformats.org/drawingml/2006/picture">
                <pic:pic>
                  <pic:nvPicPr>
                    <pic:cNvPr descr="figure/pictures_landcover.pdf" id="464" name="Picture"/>
                    <pic:cNvPicPr>
                      <a:picLocks noChangeArrowheads="1" noChangeAspect="1"/>
                    </pic:cNvPicPr>
                  </pic:nvPicPr>
                  <pic:blipFill>
                    <a:blip r:embed="rId462"/>
                    <a:stretch>
                      <a:fillRect/>
                    </a:stretch>
                  </pic:blipFill>
                  <pic:spPr bwMode="auto">
                    <a:xfrm>
                      <a:off x="0" y="0"/>
                      <a:ext cx="5334000" cy="3955097"/>
                    </a:xfrm>
                    <a:prstGeom prst="rect">
                      <a:avLst/>
                    </a:prstGeom>
                    <a:noFill/>
                    <a:ln w="9525">
                      <a:noFill/>
                      <a:headEnd/>
                      <a:tailEnd/>
                    </a:ln>
                  </pic:spPr>
                </pic:pic>
              </a:graphicData>
            </a:graphic>
          </wp:inline>
        </w:drawing>
      </w:r>
    </w:p>
    <w:p>
      <w:pPr>
        <w:pStyle w:val="ImageCaption"/>
      </w:pPr>
      <w:r>
        <w:t xml:space="preserve">Figure 43: Photographies représentatives des principales classes d’occupation du sol rencontrées sur les zones d’étude</w:t>
      </w:r>
    </w:p>
    <w:bookmarkEnd w:id="465"/>
    <w:bookmarkEnd w:id="466"/>
    <w:bookmarkStart w:id="494" w:name="annex-opendapr"/>
    <w:p>
      <w:pPr>
        <w:pStyle w:val="Heading1"/>
      </w:pPr>
      <w:r>
        <w:t xml:space="preserve">Présentation de la librarie R</w:t>
      </w:r>
      <w:r>
        <w:t xml:space="preserve"> </w:t>
      </w:r>
      <w:r>
        <w:rPr>
          <w:rStyle w:val="VerbatimChar"/>
        </w:rPr>
        <w:t xml:space="preserve">opendapr</w:t>
      </w:r>
    </w:p>
    <w:p>
      <w:pPr>
        <w:pStyle w:val="FirstParagraph"/>
      </w:pPr>
      <w:r>
        <w:rPr>
          <w:iCs/>
          <w:i/>
        </w:rPr>
        <w:t xml:space="preserve">Cette annexe présente succintement la librairie R opendapr, développée dans le cadre de la thèse afin d’extraire les séries temporelles satellitaires météorologiques (MODIS et GPM) sur les zones d’étude. La libraire est hebergée à l’adresse suivante :</w:t>
      </w:r>
      <w:r>
        <w:rPr>
          <w:iCs/>
          <w:i/>
        </w:rPr>
        <w:t xml:space="preserve"> </w:t>
      </w:r>
      <w:hyperlink r:id="rId146">
        <w:r>
          <w:rPr>
            <w:rStyle w:val="Hyperlink"/>
            <w:iCs/>
            <w:i/>
          </w:rPr>
          <w:t xml:space="preserve">https://github.com/ptaconet/opendapr</w:t>
        </w:r>
      </w:hyperlink>
      <w:r>
        <w:rPr>
          <w:iCs/>
          <w:i/>
        </w:rPr>
        <w:t xml:space="preserve">. Le texte de cette annexe est extrait de la description de la librairie, disponible à cette adresse</w:t>
      </w:r>
      <w:r>
        <w:t xml:space="preserve">.</w:t>
      </w:r>
      <w:r>
        <w:br/>
      </w:r>
    </w:p>
    <w:p>
      <w:pPr>
        <w:pStyle w:val="BodyText"/>
      </w:pPr>
      <w:r>
        <w:rPr>
          <w:bCs/>
          <w:b/>
        </w:rPr>
        <w:t xml:space="preserve">opendapr</w:t>
      </w:r>
      <w:r>
        <w:t xml:space="preserve"> </w:t>
      </w:r>
      <w:r>
        <w:t xml:space="preserve">is an R package that provides functions to</w:t>
      </w:r>
      <w:r>
        <w:t xml:space="preserve"> </w:t>
      </w:r>
      <w:r>
        <w:rPr>
          <w:bCs/>
          <w:b/>
        </w:rPr>
        <w:t xml:space="preserve">harmonize</w:t>
      </w:r>
      <w:r>
        <w:t xml:space="preserve"> </w:t>
      </w:r>
      <w:r>
        <w:t xml:space="preserve">and</w:t>
      </w:r>
      <w:r>
        <w:t xml:space="preserve"> </w:t>
      </w:r>
      <w:r>
        <w:rPr>
          <w:bCs/>
          <w:b/>
        </w:rPr>
        <w:t xml:space="preserve">speed-up</w:t>
      </w:r>
      <w:r>
        <w:t xml:space="preserve"> </w:t>
      </w:r>
      <w:r>
        <w:t xml:space="preserve">the</w:t>
      </w:r>
      <w:r>
        <w:t xml:space="preserve"> </w:t>
      </w:r>
      <w:r>
        <w:rPr>
          <w:bCs/>
          <w:b/>
        </w:rPr>
        <w:t xml:space="preserve">download</w:t>
      </w:r>
      <w:r>
        <w:t xml:space="preserve"> </w:t>
      </w:r>
      <w:r>
        <w:t xml:space="preserve">of some well-known and widely-used</w:t>
      </w:r>
      <w:r>
        <w:t xml:space="preserve"> </w:t>
      </w:r>
      <w:r>
        <w:rPr>
          <w:bCs/>
          <w:b/>
        </w:rPr>
        <w:t xml:space="preserve">spatiotemporal Earth science datacubes</w:t>
      </w:r>
      <w:r>
        <w:t xml:space="preserve"> </w:t>
      </w:r>
      <w:r>
        <w:t xml:space="preserve">(e.g. </w:t>
      </w:r>
      <w:hyperlink r:id="rId467">
        <w:r>
          <w:rPr>
            <w:rStyle w:val="Hyperlink"/>
          </w:rPr>
          <w:t xml:space="preserve">MODIS</w:t>
        </w:r>
      </w:hyperlink>
      <w:r>
        <w:t xml:space="preserve">,</w:t>
      </w:r>
      <w:r>
        <w:t xml:space="preserve"> </w:t>
      </w:r>
      <w:hyperlink r:id="rId468">
        <w:r>
          <w:rPr>
            <w:rStyle w:val="Hyperlink"/>
          </w:rPr>
          <w:t xml:space="preserve">VIIRS</w:t>
        </w:r>
      </w:hyperlink>
      <w:r>
        <w:t xml:space="preserve">,</w:t>
      </w:r>
      <w:r>
        <w:t xml:space="preserve"> </w:t>
      </w:r>
      <w:hyperlink r:id="rId469">
        <w:r>
          <w:rPr>
            <w:rStyle w:val="Hyperlink"/>
          </w:rPr>
          <w:t xml:space="preserve">GPM</w:t>
        </w:r>
      </w:hyperlink>
      <w:r>
        <w:t xml:space="preserve"> </w:t>
      </w:r>
      <w:r>
        <w:t xml:space="preserve">or</w:t>
      </w:r>
      <w:r>
        <w:t xml:space="preserve"> </w:t>
      </w:r>
      <w:hyperlink r:id="rId470">
        <w:r>
          <w:rPr>
            <w:rStyle w:val="Hyperlink"/>
          </w:rPr>
          <w:t xml:space="preserve">SMAP</w:t>
        </w:r>
      </w:hyperlink>
      <w:r>
        <w:t xml:space="preserve">) using the</w:t>
      </w:r>
      <w:r>
        <w:t xml:space="preserve"> </w:t>
      </w:r>
      <w:hyperlink r:id="rId471">
        <w:r>
          <w:rPr>
            <w:rStyle w:val="Hyperlink"/>
          </w:rPr>
          <w:t xml:space="preserve">OPeNDAP framework</w:t>
        </w:r>
      </w:hyperlink>
      <w:r>
        <w:t xml:space="preserve"> </w:t>
      </w:r>
      <w:r>
        <w:t xml:space="preserve">(</w:t>
      </w:r>
      <w:r>
        <w:rPr>
          <w:iCs/>
          <w:i/>
        </w:rPr>
        <w:t xml:space="preserve">Open-source Project for a Network Data Access Protocol</w:t>
      </w:r>
      <w:r>
        <w:t xml:space="preserve">)</w:t>
      </w:r>
      <w:r>
        <w:br/>
      </w:r>
    </w:p>
    <w:p>
      <w:pPr>
        <w:pStyle w:val="BodyText"/>
      </w:pPr>
      <w:r>
        <w:rPr>
          <w:iCs/>
          <w:i/>
          <w:bCs/>
          <w:b/>
        </w:rPr>
        <w:t xml:space="preserve">Harmonize ?</w:t>
      </w:r>
      <w:r>
        <w:t xml:space="preserve"> </w:t>
      </w:r>
      <w:r>
        <w:t xml:space="preserve">opendapr proposes a single function to query the various data servers, and another single function to download the data.</w:t>
      </w:r>
      <w:r>
        <w:br/>
      </w:r>
    </w:p>
    <w:p>
      <w:pPr>
        <w:pStyle w:val="BodyText"/>
      </w:pPr>
      <w:r>
        <w:rPr>
          <w:iCs/>
          <w:i/>
          <w:bCs/>
          <w:b/>
        </w:rPr>
        <w:t xml:space="preserve">Speed-up ?</w:t>
      </w:r>
      <w:r>
        <w:t xml:space="preserve"> </w:t>
      </w:r>
      <w:r>
        <w:t xml:space="preserve">opendapr uses the abilities offered by the OPeNDAP to download a subset of data cube, along spatial, temporal or any other data dimension (depth, …). This way, it reduces downloading time and disk usage to their minimum : no more 1° x 1° MODIS tiles when your region of interest is only 100 km x 100 km wide !</w:t>
      </w:r>
      <w:r>
        <w:t xml:space="preserve"> </w:t>
      </w:r>
      <w:r>
        <w:t xml:space="preserve">Moreover, opendapr supports parallelized downloads.</w:t>
      </w:r>
      <w:r>
        <w:br/>
      </w:r>
    </w:p>
    <w:p>
      <w:pPr>
        <w:pStyle w:val="BodyText"/>
      </w:pPr>
      <w:r>
        <w:t xml:space="preserve">Below is a comparison of opendapr with other packages available for downloading chunks of remote sensing data :</w:t>
      </w:r>
    </w:p>
    <w:tbl>
      <w:tblPr>
        <w:tblStyle w:val="Table"/>
        <w:tblW w:type="pct" w:w="5000"/>
        <w:tblLook w:firstRow="1" w:lastRow="0" w:firstColumn="0" w:lastColumn="0" w:noHBand="0" w:noVBand="0" w:val="0020"/>
      </w:tblPr>
      <w:tblGrid>
        <w:gridCol w:w="4207"/>
        <w:gridCol w:w="1237"/>
        <w:gridCol w:w="1237"/>
        <w:gridCol w:w="1237"/>
      </w:tblGrid>
      <w:tr>
        <w:trPr>
          <w:tblHeader w:val="true"/>
        </w:trPr>
        <w:tc>
          <w:tcPr/>
          <w:p>
            <w:pPr>
              <w:pStyle w:val="Compact"/>
              <w:jc w:val="left"/>
            </w:pPr>
            <w:r>
              <w:t xml:space="preserve">Package</w:t>
            </w:r>
          </w:p>
        </w:tc>
        <w:tc>
          <w:tcPr/>
          <w:p>
            <w:pPr>
              <w:pStyle w:val="Compact"/>
              <w:jc w:val="center"/>
            </w:pPr>
            <w:r>
              <w:t xml:space="preserve">Data</w:t>
            </w:r>
          </w:p>
        </w:tc>
        <w:tc>
          <w:tcPr/>
          <w:p>
            <w:pPr>
              <w:pStyle w:val="Compact"/>
              <w:jc w:val="center"/>
            </w:pPr>
            <w:r>
              <w:t xml:space="preserve">Spatial subsetting*</w:t>
            </w:r>
          </w:p>
        </w:tc>
        <w:tc>
          <w:tcPr/>
          <w:p>
            <w:pPr>
              <w:pStyle w:val="Compact"/>
              <w:jc w:val="center"/>
            </w:pPr>
            <w:r>
              <w:t xml:space="preserve">Dimensional subsetting*</w:t>
            </w:r>
          </w:p>
        </w:tc>
      </w:tr>
      <w:tr>
        <w:tc>
          <w:tcPr/>
          <w:p>
            <w:pPr>
              <w:pStyle w:val="Compact"/>
              <w:jc w:val="left"/>
            </w:pPr>
            <w:hyperlink r:id="rId146">
              <w:r>
                <w:rPr>
                  <w:rStyle w:val="VerbatimChar"/>
                </w:rPr>
                <w:t xml:space="preserve">opendapr</w:t>
              </w:r>
            </w:hyperlink>
          </w:p>
        </w:tc>
        <w:tc>
          <w:tcPr/>
          <w:p>
            <w:pPr>
              <w:pStyle w:val="Compact"/>
              <w:jc w:val="center"/>
            </w:pPr>
            <w:r>
              <w:t xml:space="preserve">MODIS, VIIRS, SMAP, GPM</w:t>
            </w:r>
          </w:p>
        </w:tc>
        <w:tc>
          <w:tcPr/>
          <w:p>
            <w:pPr>
              <w:pStyle w:val="Compact"/>
              <w:jc w:val="center"/>
            </w:pPr>
            <w:r>
              <w:t xml:space="preserve">Yes</w:t>
            </w:r>
          </w:p>
        </w:tc>
        <w:tc>
          <w:tcPr/>
          <w:p>
            <w:pPr>
              <w:pStyle w:val="Compact"/>
              <w:jc w:val="center"/>
            </w:pPr>
            <w:r>
              <w:t xml:space="preserve">Yes</w:t>
            </w:r>
          </w:p>
        </w:tc>
      </w:tr>
      <w:tr>
        <w:tc>
          <w:tcPr/>
          <w:p>
            <w:pPr>
              <w:pStyle w:val="Compact"/>
              <w:jc w:val="left"/>
            </w:pPr>
            <w:hyperlink r:id="rId472">
              <w:r>
                <w:rPr>
                  <w:rStyle w:val="VerbatimChar"/>
                </w:rPr>
                <w:t xml:space="preserve">MODIS</w:t>
              </w:r>
            </w:hyperlink>
          </w:p>
        </w:tc>
        <w:tc>
          <w:tcPr/>
          <w:p>
            <w:pPr>
              <w:pStyle w:val="Compact"/>
              <w:jc w:val="center"/>
            </w:pPr>
            <w:r>
              <w:t xml:space="preserve">MODIS</w:t>
            </w:r>
          </w:p>
        </w:tc>
        <w:tc>
          <w:tcPr/>
          <w:p>
            <w:pPr>
              <w:pStyle w:val="Compact"/>
              <w:jc w:val="center"/>
            </w:pPr>
            <w:r>
              <w:t xml:space="preserve">No</w:t>
            </w:r>
          </w:p>
        </w:tc>
        <w:tc>
          <w:tcPr/>
          <w:p>
            <w:pPr>
              <w:pStyle w:val="Compact"/>
              <w:jc w:val="center"/>
            </w:pPr>
            <w:r>
              <w:t xml:space="preserve">No</w:t>
            </w:r>
          </w:p>
        </w:tc>
      </w:tr>
      <w:tr>
        <w:tc>
          <w:tcPr/>
          <w:p>
            <w:pPr>
              <w:pStyle w:val="Compact"/>
              <w:jc w:val="left"/>
            </w:pPr>
            <w:hyperlink r:id="rId473">
              <w:r>
                <w:rPr>
                  <w:rStyle w:val="VerbatimChar"/>
                </w:rPr>
                <w:t xml:space="preserve">MODIStsp</w:t>
              </w:r>
            </w:hyperlink>
          </w:p>
        </w:tc>
        <w:tc>
          <w:tcPr/>
          <w:p>
            <w:pPr>
              <w:pStyle w:val="Compact"/>
              <w:jc w:val="center"/>
            </w:pPr>
            <w:r>
              <w:t xml:space="preserve">MODIS</w:t>
            </w:r>
          </w:p>
        </w:tc>
        <w:tc>
          <w:tcPr/>
          <w:p>
            <w:pPr>
              <w:pStyle w:val="Compact"/>
              <w:jc w:val="center"/>
            </w:pPr>
            <w:r>
              <w:t xml:space="preserve">No</w:t>
            </w:r>
          </w:p>
        </w:tc>
        <w:tc>
          <w:tcPr/>
          <w:p>
            <w:pPr>
              <w:pStyle w:val="Compact"/>
              <w:jc w:val="center"/>
            </w:pPr>
            <w:r>
              <w:t xml:space="preserve">Yes</w:t>
            </w:r>
          </w:p>
        </w:tc>
      </w:tr>
      <w:tr>
        <w:tc>
          <w:tcPr/>
          <w:p>
            <w:pPr>
              <w:pStyle w:val="Compact"/>
              <w:jc w:val="left"/>
            </w:pPr>
            <w:hyperlink r:id="rId474">
              <w:r>
                <w:rPr>
                  <w:rStyle w:val="VerbatimChar"/>
                </w:rPr>
                <w:t xml:space="preserve">MODISTools</w:t>
              </w:r>
            </w:hyperlink>
          </w:p>
        </w:tc>
        <w:tc>
          <w:tcPr/>
          <w:p>
            <w:pPr>
              <w:pStyle w:val="Compact"/>
              <w:jc w:val="center"/>
            </w:pPr>
            <w:r>
              <w:t xml:space="preserve">MODIS</w:t>
            </w:r>
          </w:p>
        </w:tc>
        <w:tc>
          <w:tcPr/>
          <w:p>
            <w:pPr>
              <w:pStyle w:val="Compact"/>
              <w:jc w:val="center"/>
            </w:pPr>
            <w:r>
              <w:t xml:space="preserve">Yes</w:t>
            </w:r>
          </w:p>
        </w:tc>
        <w:tc>
          <w:tcPr/>
          <w:p>
            <w:pPr>
              <w:pStyle w:val="Compact"/>
              <w:jc w:val="center"/>
            </w:pPr>
            <w:r>
              <w:t xml:space="preserve">Yes</w:t>
            </w:r>
          </w:p>
        </w:tc>
      </w:tr>
      <w:tr>
        <w:tc>
          <w:tcPr/>
          <w:p>
            <w:pPr>
              <w:pStyle w:val="Compact"/>
              <w:jc w:val="left"/>
            </w:pPr>
            <w:hyperlink r:id="rId475">
              <w:r>
                <w:rPr>
                  <w:rStyle w:val="VerbatimChar"/>
                </w:rPr>
                <w:t xml:space="preserve">smapr</w:t>
              </w:r>
            </w:hyperlink>
          </w:p>
        </w:tc>
        <w:tc>
          <w:tcPr/>
          <w:p>
            <w:pPr>
              <w:pStyle w:val="Compact"/>
              <w:jc w:val="center"/>
            </w:pPr>
            <w:r>
              <w:t xml:space="preserve">SMAP</w:t>
            </w:r>
          </w:p>
        </w:tc>
        <w:tc>
          <w:tcPr/>
          <w:p>
            <w:pPr>
              <w:pStyle w:val="Compact"/>
              <w:jc w:val="center"/>
            </w:pPr>
            <w:r>
              <w:t xml:space="preserve">No</w:t>
            </w:r>
          </w:p>
        </w:tc>
        <w:tc>
          <w:tcPr/>
          <w:p>
            <w:pPr>
              <w:pStyle w:val="Compact"/>
              <w:jc w:val="center"/>
            </w:pPr>
            <w:r>
              <w:t xml:space="preserve">No</w:t>
            </w:r>
          </w:p>
        </w:tc>
      </w:tr>
    </w:tbl>
    <w:p>
      <w:pPr>
        <w:pStyle w:val="BodyText"/>
      </w:pPr>
      <w:r>
        <w:t xml:space="preserve">* at the downloading phase</w:t>
      </w:r>
      <w:r>
        <w:br/>
      </w:r>
    </w:p>
    <w:p>
      <w:pPr>
        <w:pStyle w:val="BodyText"/>
      </w:pPr>
      <w:r>
        <w:t xml:space="preserve">By enabling to download subsets of data cubes, opendapr facilites the access to Earth science data for R users in places where internet connection is slow or expensive and promotes digital sobriety for our research work.</w:t>
      </w:r>
      <w:r>
        <w:br/>
      </w:r>
    </w:p>
    <w:p>
      <w:pPr>
        <w:pStyle w:val="BodyText"/>
      </w:pPr>
      <w:r>
        <w:t xml:space="preserve">The OPeNDAP, over which the package builds, is a project developed by the non-profit</w:t>
      </w:r>
      <w:r>
        <w:t xml:space="preserve"> </w:t>
      </w:r>
      <w:hyperlink r:id="rId471">
        <w:r>
          <w:rPr>
            <w:rStyle w:val="Hyperlink"/>
          </w:rPr>
          <w:t xml:space="preserve">OPeNDAP, Inc.</w:t>
        </w:r>
      </w:hyperlink>
      <w:r>
        <w:t xml:space="preserve"> </w:t>
      </w:r>
      <w:r>
        <w:t xml:space="preserve">and advanced openly and collaboratively. By using this data access protocol, opendapr support the open-source-software movement.</w:t>
      </w:r>
    </w:p>
    <w:bookmarkStart w:id="476" w:name="installation"/>
    <w:p>
      <w:pPr>
        <w:pStyle w:val="Heading4"/>
      </w:pPr>
      <w:r>
        <w:t xml:space="preserve">Installation</w:t>
      </w:r>
    </w:p>
    <w:p>
      <w:pPr>
        <w:pStyle w:val="FirstParagraph"/>
      </w:pPr>
      <w:r>
        <w:t xml:space="preserve">The package can be installed with:</w:t>
      </w:r>
    </w:p>
    <w:p>
      <w:pPr>
        <w:pStyle w:val="SourceCode"/>
      </w:pPr>
      <w:r>
        <w:rPr>
          <w:rStyle w:val="CommentTok"/>
        </w:rPr>
        <w:t xml:space="preserve"># install.packages("devtools")</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"ptaconet/opendapr"</w:t>
      </w:r>
      <w:r>
        <w:rPr>
          <w:rStyle w:val="NormalTok"/>
        </w:rPr>
        <w:t xml:space="preserve">, </w:t>
      </w:r>
      <w:r>
        <w:rPr>
          <w:rStyle w:val="AttributeTok"/>
        </w:rPr>
        <w:t xml:space="preserve">build_vignettes =</w:t>
      </w:r>
      <w:r>
        <w:rPr>
          <w:rStyle w:val="NormalTok"/>
        </w:rPr>
        <w:t xml:space="preserve"> T, </w:t>
      </w:r>
      <w:r>
        <w:rPr>
          <w:rStyle w:val="AttributeTok"/>
        </w:rPr>
        <w:t xml:space="preserve">build_manual =</w:t>
      </w:r>
      <w:r>
        <w:rPr>
          <w:rStyle w:val="NormalTok"/>
        </w:rPr>
        <w:t xml:space="preserve"> T)</w:t>
      </w:r>
    </w:p>
    <w:p>
      <w:pPr>
        <w:pStyle w:val="FirstParagraph"/>
      </w:pPr>
      <w:r>
        <w:t xml:space="preserve">Work is ongoing to publish the package on the CRAN.</w:t>
      </w:r>
    </w:p>
    <w:bookmarkEnd w:id="476"/>
    <w:bookmarkStart w:id="484" w:name="coll-available"/>
    <w:p>
      <w:pPr>
        <w:pStyle w:val="Heading4"/>
      </w:pPr>
      <w:r>
        <w:t xml:space="preserve">Collections available in opendapr</w:t>
      </w:r>
    </w:p>
    <w:p>
      <w:pPr>
        <w:pStyle w:val="FirstParagraph"/>
      </w:pPr>
      <w:r>
        <w:t xml:space="preserve">Currently</w:t>
      </w:r>
      <w:r>
        <w:t xml:space="preserve"> </w:t>
      </w:r>
      <w:r>
        <w:rPr>
          <w:bCs/>
          <w:b/>
        </w:rPr>
        <w:t xml:space="preserve">opendapr</w:t>
      </w:r>
      <w:r>
        <w:t xml:space="preserve"> </w:t>
      </w:r>
      <w:r>
        <w:t xml:space="preserve">supports download of 77 data collections, extracted from the following meta-collections :</w:t>
      </w:r>
    </w:p>
    <w:p>
      <w:pPr>
        <w:numPr>
          <w:ilvl w:val="0"/>
          <w:numId w:val="1033"/>
        </w:numPr>
        <w:pStyle w:val="Compact"/>
      </w:pPr>
      <w:hyperlink r:id="rId467">
        <w:r>
          <w:rPr>
            <w:rStyle w:val="Hyperlink"/>
          </w:rPr>
          <w:t xml:space="preserve">MODIS land products</w:t>
        </w:r>
      </w:hyperlink>
      <w:r>
        <w:t xml:space="preserve"> </w:t>
      </w:r>
      <w:r>
        <w:t xml:space="preserve">made available by the</w:t>
      </w:r>
      <w:r>
        <w:t xml:space="preserve"> </w:t>
      </w:r>
      <w:hyperlink r:id="rId477">
        <w:r>
          <w:rPr>
            <w:rStyle w:val="Hyperlink"/>
          </w:rPr>
          <w:t xml:space="preserve">NASA / USGS LP DAAC</w:t>
        </w:r>
      </w:hyperlink>
      <w:r>
        <w:t xml:space="preserve"> </w:t>
      </w:r>
      <w:r>
        <w:t xml:space="preserve">(</w:t>
      </w:r>
      <w:hyperlink r:id="rId478">
        <w:r>
          <w:rPr>
            <w:rStyle w:val="Hyperlink"/>
          </w:rPr>
          <w:t xml:space="preserve">source OPeNDAP server</w:t>
        </w:r>
      </w:hyperlink>
      <w:r>
        <w:t xml:space="preserve">) ;</w:t>
      </w:r>
    </w:p>
    <w:p>
      <w:pPr>
        <w:numPr>
          <w:ilvl w:val="0"/>
          <w:numId w:val="1033"/>
        </w:numPr>
        <w:pStyle w:val="Compact"/>
      </w:pPr>
      <w:hyperlink r:id="rId468">
        <w:r>
          <w:rPr>
            <w:rStyle w:val="Hyperlink"/>
          </w:rPr>
          <w:t xml:space="preserve">VIIRS land products</w:t>
        </w:r>
      </w:hyperlink>
      <w:r>
        <w:t xml:space="preserve"> </w:t>
      </w:r>
      <w:r>
        <w:t xml:space="preserve">made available by the</w:t>
      </w:r>
      <w:r>
        <w:t xml:space="preserve"> </w:t>
      </w:r>
      <w:hyperlink r:id="rId477">
        <w:r>
          <w:rPr>
            <w:rStyle w:val="Hyperlink"/>
          </w:rPr>
          <w:t xml:space="preserve">NASA / USGS LP DAAC</w:t>
        </w:r>
      </w:hyperlink>
      <w:r>
        <w:t xml:space="preserve"> </w:t>
      </w:r>
      <w:r>
        <w:t xml:space="preserve">(</w:t>
      </w:r>
      <w:hyperlink r:id="rId478">
        <w:r>
          <w:rPr>
            <w:rStyle w:val="Hyperlink"/>
          </w:rPr>
          <w:t xml:space="preserve">source OPeNDAP server</w:t>
        </w:r>
      </w:hyperlink>
      <w:r>
        <w:t xml:space="preserve">) ;</w:t>
      </w:r>
    </w:p>
    <w:p>
      <w:pPr>
        <w:numPr>
          <w:ilvl w:val="0"/>
          <w:numId w:val="1033"/>
        </w:numPr>
        <w:pStyle w:val="Compact"/>
      </w:pPr>
      <w:hyperlink r:id="rId468">
        <w:r>
          <w:rPr>
            <w:rStyle w:val="Hyperlink"/>
          </w:rPr>
          <w:t xml:space="preserve">VIIRS land products</w:t>
        </w:r>
      </w:hyperlink>
      <w:r>
        <w:t xml:space="preserve"> </w:t>
      </w:r>
      <w:r>
        <w:t xml:space="preserve">made available by the</w:t>
      </w:r>
      <w:r>
        <w:t xml:space="preserve"> </w:t>
      </w:r>
      <w:hyperlink r:id="rId477">
        <w:r>
          <w:rPr>
            <w:rStyle w:val="Hyperlink"/>
          </w:rPr>
          <w:t xml:space="preserve">NASA LAADS DAAC</w:t>
        </w:r>
      </w:hyperlink>
      <w:r>
        <w:t xml:space="preserve"> </w:t>
      </w:r>
      <w:r>
        <w:t xml:space="preserve">(</w:t>
      </w:r>
      <w:hyperlink r:id="rId479">
        <w:r>
          <w:rPr>
            <w:rStyle w:val="Hyperlink"/>
          </w:rPr>
          <w:t xml:space="preserve">source OPeNDAP server</w:t>
        </w:r>
      </w:hyperlink>
      <w:r>
        <w:t xml:space="preserve">) ;</w:t>
      </w:r>
    </w:p>
    <w:p>
      <w:pPr>
        <w:numPr>
          <w:ilvl w:val="0"/>
          <w:numId w:val="1033"/>
        </w:numPr>
        <w:pStyle w:val="Compact"/>
      </w:pPr>
      <w:hyperlink r:id="rId469">
        <w:r>
          <w:rPr>
            <w:rStyle w:val="Hyperlink"/>
          </w:rPr>
          <w:t xml:space="preserve">Global Precipitation Measurement</w:t>
        </w:r>
      </w:hyperlink>
      <w:r>
        <w:t xml:space="preserve"> </w:t>
      </w:r>
      <w:r>
        <w:t xml:space="preserve">(GPM) made available by the</w:t>
      </w:r>
      <w:r>
        <w:t xml:space="preserve"> </w:t>
      </w:r>
      <w:hyperlink r:id="rId480">
        <w:r>
          <w:rPr>
            <w:rStyle w:val="Hyperlink"/>
          </w:rPr>
          <w:t xml:space="preserve">NASA / JAXA GES DISC</w:t>
        </w:r>
      </w:hyperlink>
      <w:r>
        <w:t xml:space="preserve"> </w:t>
      </w:r>
      <w:r>
        <w:t xml:space="preserve">(</w:t>
      </w:r>
      <w:hyperlink r:id="rId481">
        <w:r>
          <w:rPr>
            <w:rStyle w:val="Hyperlink"/>
          </w:rPr>
          <w:t xml:space="preserve">source OPeNDAP server</w:t>
        </w:r>
      </w:hyperlink>
      <w:r>
        <w:t xml:space="preserve">) ;</w:t>
      </w:r>
    </w:p>
    <w:p>
      <w:pPr>
        <w:numPr>
          <w:ilvl w:val="0"/>
          <w:numId w:val="1033"/>
        </w:numPr>
        <w:pStyle w:val="Compact"/>
      </w:pPr>
      <w:hyperlink r:id="rId470">
        <w:r>
          <w:rPr>
            <w:rStyle w:val="Hyperlink"/>
          </w:rPr>
          <w:t xml:space="preserve">Soil Moisture Active-Passive</w:t>
        </w:r>
      </w:hyperlink>
      <w:r>
        <w:t xml:space="preserve"> </w:t>
      </w:r>
      <w:r>
        <w:t xml:space="preserve">(SMAP) made available by the</w:t>
      </w:r>
      <w:r>
        <w:t xml:space="preserve"> </w:t>
      </w:r>
      <w:hyperlink r:id="rId482">
        <w:r>
          <w:rPr>
            <w:rStyle w:val="Hyperlink"/>
          </w:rPr>
          <w:t xml:space="preserve">NASA NSIDC DAAC</w:t>
        </w:r>
      </w:hyperlink>
      <w:r>
        <w:t xml:space="preserve"> </w:t>
      </w:r>
      <w:r>
        <w:t xml:space="preserve">(</w:t>
      </w:r>
      <w:hyperlink r:id="rId483">
        <w:r>
          <w:rPr>
            <w:rStyle w:val="Hyperlink"/>
          </w:rPr>
          <w:t xml:space="preserve">source OPeNDAP server</w:t>
        </w:r>
      </w:hyperlink>
      <w:r>
        <w:t xml:space="preserve">)</w:t>
      </w:r>
    </w:p>
    <w:p>
      <w:pPr>
        <w:pStyle w:val="FirstParagraph"/>
      </w:pPr>
      <w:r>
        <w:t xml:space="preserve">Details of each product available for download are provided through the function</w:t>
      </w:r>
      <w:r>
        <w:t xml:space="preserve"> </w:t>
      </w:r>
      <w:r>
        <w:rPr>
          <w:rStyle w:val="VerbatimChar"/>
        </w:rPr>
        <w:t xml:space="preserve">odr_list_collections()</w:t>
      </w:r>
      <w:r>
        <w:t xml:space="preserve">.</w:t>
      </w:r>
    </w:p>
    <w:bookmarkEnd w:id="484"/>
    <w:bookmarkStart w:id="487" w:name="get-started"/>
    <w:p>
      <w:pPr>
        <w:pStyle w:val="Heading4"/>
      </w:pPr>
      <w:r>
        <w:t xml:space="preserve">Get Started</w:t>
      </w:r>
    </w:p>
    <w:p>
      <w:pPr>
        <w:pStyle w:val="FirstParagraph"/>
      </w:pPr>
      <w:r>
        <w:t xml:space="preserve">Downloading the data with</w:t>
      </w:r>
      <w:r>
        <w:t xml:space="preserve"> </w:t>
      </w:r>
      <w:r>
        <w:rPr>
          <w:bCs/>
          <w:b/>
        </w:rPr>
        <w:t xml:space="preserve">opendapr</w:t>
      </w:r>
      <w:r>
        <w:t xml:space="preserve"> </w:t>
      </w:r>
      <w:r>
        <w:t xml:space="preserve">is a simple two-steps workflow :</w:t>
      </w:r>
    </w:p>
    <w:p>
      <w:pPr>
        <w:numPr>
          <w:ilvl w:val="0"/>
          <w:numId w:val="1034"/>
        </w:numPr>
      </w:pPr>
      <w:r>
        <w:t xml:space="preserve">With the function</w:t>
      </w:r>
      <w:r>
        <w:t xml:space="preserve"> </w:t>
      </w:r>
      <w:r>
        <w:rPr>
          <w:rStyle w:val="VerbatimChar"/>
          <w:bCs/>
          <w:b/>
        </w:rPr>
        <w:t xml:space="preserve">odr_get_url()</w:t>
      </w:r>
      <w:r>
        <w:t xml:space="preserve">, get the URL(s) of the data for :</w:t>
      </w:r>
    </w:p>
    <w:p>
      <w:pPr>
        <w:numPr>
          <w:ilvl w:val="1"/>
          <w:numId w:val="1035"/>
        </w:numPr>
        <w:pStyle w:val="Compact"/>
      </w:pPr>
      <w:r>
        <w:t xml:space="preserve">a collection : see</w:t>
      </w:r>
      <w:r>
        <w:t xml:space="preserve"> </w:t>
      </w:r>
      <w:hyperlink w:anchor="collections-available-in-opendapr">
        <w:r>
          <w:rPr>
            <w:rStyle w:val="Hyperlink"/>
          </w:rPr>
          <w:t xml:space="preserve">previous section</w:t>
        </w:r>
      </w:hyperlink>
      <w:r>
        <w:t xml:space="preserve">,</w:t>
      </w:r>
    </w:p>
    <w:p>
      <w:pPr>
        <w:numPr>
          <w:ilvl w:val="1"/>
          <w:numId w:val="1035"/>
        </w:numPr>
        <w:pStyle w:val="Compact"/>
      </w:pPr>
      <w:r>
        <w:t xml:space="preserve">variables,</w:t>
      </w:r>
    </w:p>
    <w:p>
      <w:pPr>
        <w:numPr>
          <w:ilvl w:val="1"/>
          <w:numId w:val="1035"/>
        </w:numPr>
        <w:pStyle w:val="Compact"/>
      </w:pPr>
      <w:r>
        <w:t xml:space="preserve">region of interest,</w:t>
      </w:r>
    </w:p>
    <w:p>
      <w:pPr>
        <w:numPr>
          <w:ilvl w:val="1"/>
          <w:numId w:val="1035"/>
        </w:numPr>
        <w:pStyle w:val="Compact"/>
      </w:pPr>
      <w:r>
        <w:t xml:space="preserve">time range,</w:t>
      </w:r>
    </w:p>
    <w:p>
      <w:pPr>
        <w:numPr>
          <w:ilvl w:val="1"/>
          <w:numId w:val="1035"/>
        </w:numPr>
        <w:pStyle w:val="Compact"/>
      </w:pPr>
      <w:r>
        <w:t xml:space="preserve">output data format (netcdf, ascii, json)</w:t>
      </w:r>
    </w:p>
    <w:p>
      <w:pPr>
        <w:numPr>
          <w:ilvl w:val="0"/>
          <w:numId w:val="1034"/>
        </w:numPr>
      </w:pPr>
      <w:r>
        <w:t xml:space="preserve">Next, with the function</w:t>
      </w:r>
      <w:r>
        <w:t xml:space="preserve"> </w:t>
      </w:r>
      <w:r>
        <w:rPr>
          <w:rStyle w:val="VerbatimChar"/>
          <w:bCs/>
          <w:b/>
        </w:rPr>
        <w:t xml:space="preserve">odr_download_data()</w:t>
      </w:r>
      <w:r>
        <w:t xml:space="preserve"> </w:t>
      </w:r>
      <w:r>
        <w:t xml:space="preserve">: download the data to your computer.</w:t>
      </w:r>
    </w:p>
    <w:p>
      <w:pPr>
        <w:pStyle w:val="FirstParagraph"/>
      </w:pPr>
      <w:r>
        <w:t xml:space="preserve">Additional functions include : list collection available for download (</w:t>
      </w:r>
      <w:r>
        <w:rPr>
          <w:rStyle w:val="VerbatimChar"/>
        </w:rPr>
        <w:t xml:space="preserve">odr_list_collections()</w:t>
      </w:r>
      <w:r>
        <w:t xml:space="preserve"> </w:t>
      </w:r>
      <w:r>
        <w:t xml:space="preserve">), list variables available for each collection (</w:t>
      </w:r>
      <w:r>
        <w:t xml:space="preserve"> </w:t>
      </w:r>
      <w:r>
        <w:rPr>
          <w:rStyle w:val="VerbatimChar"/>
        </w:rPr>
        <w:t xml:space="preserve">odr_list_variables()</w:t>
      </w:r>
      <w:r>
        <w:t xml:space="preserve"> </w:t>
      </w:r>
      <w:r>
        <w:t xml:space="preserve">), login to EOSDIS Earthdata before querying the servers and downloading the data (</w:t>
      </w:r>
      <w:r>
        <w:rPr>
          <w:rStyle w:val="VerbatimChar"/>
        </w:rPr>
        <w:t xml:space="preserve">odr_login()</w:t>
      </w:r>
      <w:r>
        <w:t xml:space="preserve">).</w:t>
      </w:r>
      <w:r>
        <w:br/>
      </w:r>
    </w:p>
    <w:p>
      <w:pPr>
        <w:pStyle w:val="BodyText"/>
      </w:pPr>
      <w:r>
        <w:rPr>
          <w:bCs/>
          <w:b/>
        </w:rPr>
        <w:t xml:space="preserve">Have a look at the</w:t>
      </w:r>
      <w:r>
        <w:rPr>
          <w:bCs/>
          <w:b/>
        </w:rPr>
        <w:t xml:space="preserve"> </w:t>
      </w:r>
      <w:hyperlink r:id="rId485">
        <w:r>
          <w:rPr>
            <w:rStyle w:val="VerbatimChar"/>
            <w:bCs/>
            <w:b/>
          </w:rPr>
          <w:t xml:space="preserve">vignette("opendapr1")</w:t>
        </w:r>
      </w:hyperlink>
      <w:r>
        <w:rPr>
          <w:bCs/>
          <w:b/>
        </w:rPr>
        <w:t xml:space="preserve"> </w:t>
      </w:r>
      <w:r>
        <w:rPr>
          <w:bCs/>
          <w:b/>
        </w:rPr>
        <w:t xml:space="preserve">to get started with a simple example, and for a more advanced workflow see the</w:t>
      </w:r>
      <w:r>
        <w:rPr>
          <w:bCs/>
          <w:b/>
        </w:rPr>
        <w:t xml:space="preserve"> </w:t>
      </w:r>
      <w:hyperlink r:id="rId486">
        <w:r>
          <w:rPr>
            <w:rStyle w:val="VerbatimChar"/>
            <w:bCs/>
            <w:b/>
          </w:rPr>
          <w:t xml:space="preserve">vignette("opendapr2")</w:t>
        </w:r>
      </w:hyperlink>
      <w:r>
        <w:rPr>
          <w:bCs/>
          <w:b/>
        </w:rPr>
        <w:t xml:space="preserve"> </w:t>
      </w:r>
      <w:r>
        <w:rPr>
          <w:bCs/>
          <w:b/>
        </w:rPr>
        <w:t xml:space="preserve">!</w:t>
      </w:r>
    </w:p>
    <w:bookmarkEnd w:id="487"/>
    <w:bookmarkStart w:id="488" w:name="next-steps"/>
    <w:p>
      <w:pPr>
        <w:pStyle w:val="Heading4"/>
      </w:pPr>
      <w:r>
        <w:t xml:space="preserve">Next steps</w:t>
      </w:r>
    </w:p>
    <w:p>
      <w:pPr>
        <w:pStyle w:val="FirstParagraph"/>
      </w:pPr>
      <w:r>
        <w:t xml:space="preserve">Next developments may involve :</w:t>
      </w:r>
    </w:p>
    <w:p>
      <w:pPr>
        <w:numPr>
          <w:ilvl w:val="0"/>
          <w:numId w:val="1036"/>
        </w:numPr>
        <w:pStyle w:val="Compact"/>
      </w:pPr>
      <w:r>
        <w:t xml:space="preserve">Short term : including more SMAP collections (at now only SPL3SMP_3.003 collection is available)</w:t>
      </w:r>
    </w:p>
    <w:p>
      <w:pPr>
        <w:numPr>
          <w:ilvl w:val="0"/>
          <w:numId w:val="1036"/>
        </w:numPr>
        <w:pStyle w:val="Compact"/>
      </w:pPr>
      <w:r>
        <w:t xml:space="preserve">Longer term : including access to more collections and OPeNDAP servers</w:t>
      </w:r>
    </w:p>
    <w:p>
      <w:pPr>
        <w:pStyle w:val="FirstParagraph"/>
      </w:pPr>
      <w:r>
        <w:t xml:space="preserve">Any contribution is welcome !</w:t>
      </w:r>
    </w:p>
    <w:bookmarkEnd w:id="488"/>
    <w:bookmarkStart w:id="493" w:name="acknowledgments"/>
    <w:p>
      <w:pPr>
        <w:pStyle w:val="Heading4"/>
      </w:pPr>
      <w:r>
        <w:t xml:space="preserve">Acknowledgments</w:t>
      </w:r>
    </w:p>
    <w:p>
      <w:pPr>
        <w:pStyle w:val="FirstParagraph"/>
      </w:pPr>
      <w:r>
        <w:t xml:space="preserve">We thank NASA and its partners for making all their Earth science data freely available, and implementing open data access protocols such as OPeNDAP. opendapr heavily builds on top of the OPeNDAP, so we thank the non-profit</w:t>
      </w:r>
      <w:r>
        <w:t xml:space="preserve"> </w:t>
      </w:r>
      <w:hyperlink r:id="rId471">
        <w:r>
          <w:rPr>
            <w:rStyle w:val="Hyperlink"/>
          </w:rPr>
          <w:t xml:space="preserve">OPeNDAP, Inc.</w:t>
        </w:r>
      </w:hyperlink>
      <w:r>
        <w:t xml:space="preserve"> </w:t>
      </w:r>
      <w:r>
        <w:t xml:space="preserve">for developing the eponym tool in an open and collaborative way.</w:t>
      </w:r>
    </w:p>
    <w:p>
      <w:pPr>
        <w:pStyle w:val="BodyText"/>
      </w:pPr>
      <w:r>
        <w:t xml:space="preserve">We also thank the contributors that have tested the package, reviewed the documentation and brought valuable feedbacks to improve the package :</w:t>
      </w:r>
      <w:r>
        <w:t xml:space="preserve"> </w:t>
      </w:r>
      <w:hyperlink r:id="rId489">
        <w:r>
          <w:rPr>
            <w:rStyle w:val="Hyperlink"/>
          </w:rPr>
          <w:t xml:space="preserve">Florian de Boissieu</w:t>
        </w:r>
      </w:hyperlink>
      <w:r>
        <w:t xml:space="preserve">, Julien Taconet,</w:t>
      </w:r>
      <w:r>
        <w:t xml:space="preserve"> </w:t>
      </w:r>
      <w:hyperlink r:id="rId490">
        <w:r>
          <w:rPr>
            <w:rStyle w:val="Hyperlink"/>
          </w:rPr>
          <w:t xml:space="preserve">Nicolas Moiroux</w:t>
        </w:r>
      </w:hyperlink>
    </w:p>
    <w:p>
      <w:pPr>
        <w:pStyle w:val="BodyText"/>
      </w:pPr>
      <w:r>
        <w:t xml:space="preserve">The initial development and first release of this package were financed by the</w:t>
      </w:r>
      <w:r>
        <w:t xml:space="preserve"> </w:t>
      </w:r>
      <w:hyperlink r:id="rId491">
        <w:r>
          <w:rPr>
            <w:rStyle w:val="Hyperlink"/>
          </w:rPr>
          <w:t xml:space="preserve">MIVEGEC</w:t>
        </w:r>
      </w:hyperlink>
      <w:r>
        <w:t xml:space="preserve"> </w:t>
      </w:r>
      <w:r>
        <w:t xml:space="preserve">unit of the</w:t>
      </w:r>
      <w:r>
        <w:t xml:space="preserve"> </w:t>
      </w:r>
      <w:hyperlink r:id="rId492">
        <w:r>
          <w:rPr>
            <w:rStyle w:val="Hyperlink"/>
          </w:rPr>
          <w:t xml:space="preserve">French Research Institute for Sustainable Development</w:t>
        </w:r>
      </w:hyperlink>
      <w:r>
        <w:t xml:space="preserve">, as part of the REACT project.</w:t>
      </w:r>
    </w:p>
    <w:bookmarkEnd w:id="493"/>
    <w:bookmarkEnd w:id="494"/>
    <w:bookmarkStart w:id="495" w:name="formation-teledec"/>
    <w:p>
      <w:pPr>
        <w:pStyle w:val="Heading1"/>
      </w:pPr>
      <w:r>
        <w:t xml:space="preserve">Tutoriel d’initiation à la cartographie de l’occupation du sol par télédétéction spatiale sur logiciel libre</w:t>
      </w:r>
    </w:p>
    <w:p>
      <w:pPr>
        <w:pStyle w:val="FirstParagraph"/>
      </w:pPr>
      <w:r>
        <w:rPr>
          <w:iCs/>
          <w:i/>
        </w:rPr>
        <w:t xml:space="preserve">Cette annexe présente un tutoriel pour réaliser des produits d’occupation du sol par classification supervisée orientée objet d’images satellitaires en se basant exclusivement sur des logiciels libres et à code source ouvert.</w:t>
      </w:r>
    </w:p>
    <w:bookmarkEnd w:id="495"/>
    <w:bookmarkStart w:id="496" w:name="full-article-soma"/>
    <w:p>
      <w:pPr>
        <w:pStyle w:val="Heading1"/>
      </w:pPr>
      <w:r>
        <w:t xml:space="preserve">Texte intégral de l’article complémentaire n°3</w:t>
      </w:r>
    </w:p>
    <w:p>
      <w:pPr>
        <w:pStyle w:val="FirstParagraph"/>
      </w:pPr>
      <w:r>
        <w:t xml:space="preserve">La référence de la publication est la suivante :</w:t>
      </w:r>
    </w:p>
    <w:p>
      <w:pPr>
        <w:pStyle w:val="BodyText"/>
      </w:pPr>
      <w:r>
        <w:rPr>
          <w:iCs/>
          <w:i/>
        </w:rPr>
        <w:t xml:space="preserve">Soma, D.D., Zogo, B.,</w:t>
      </w:r>
      <w:r>
        <w:rPr>
          <w:iCs/>
          <w:i/>
        </w:rPr>
        <w:t xml:space="preserve"> </w:t>
      </w:r>
      <w:r>
        <w:rPr>
          <w:bCs/>
          <w:b/>
          <w:iCs/>
          <w:i/>
        </w:rPr>
        <w:t xml:space="preserve">Taconet, P</w:t>
      </w:r>
      <w:r>
        <w:rPr>
          <w:iCs/>
          <w:i/>
        </w:rPr>
        <w:t xml:space="preserve">. et al. Quantifying and characterizing hourly human exposure to malaria vectors bites to address residual malaria transmission during dry and rainy seasons in rural Southwest Burkina Faso. BMC Public Health 21, 251 (2021).</w:t>
      </w:r>
      <w:r>
        <w:rPr>
          <w:iCs/>
          <w:i/>
        </w:rPr>
        <w:t xml:space="preserve"> </w:t>
      </w:r>
      <w:hyperlink r:id="rId202">
        <w:r>
          <w:rPr>
            <w:rStyle w:val="Hyperlink"/>
            <w:iCs/>
            <w:i/>
          </w:rPr>
          <w:t xml:space="preserve">https://doi.org/10.1186/s12889-021-10304-y</w:t>
        </w:r>
      </w:hyperlink>
    </w:p>
    <w:bookmarkEnd w:id="496"/>
    <w:bookmarkStart w:id="497" w:name="full-article-bationo"/>
    <w:p>
      <w:pPr>
        <w:pStyle w:val="Heading1"/>
      </w:pPr>
      <w:r>
        <w:t xml:space="preserve">Texte intégral de l’article complémentaire n°4</w:t>
      </w:r>
    </w:p>
    <w:p>
      <w:pPr>
        <w:pStyle w:val="FirstParagraph"/>
      </w:pPr>
      <w:r>
        <w:t xml:space="preserve">La référence de la publication est la suivante :</w:t>
      </w:r>
    </w:p>
    <w:p>
      <w:pPr>
        <w:pStyle w:val="BodyText"/>
      </w:pPr>
      <w:r>
        <w:rPr>
          <w:iCs/>
          <w:i/>
        </w:rPr>
        <w:t xml:space="preserve">Bationo, C.S., Gaudart, J., Dieng, S., Cissoko, M.,</w:t>
      </w:r>
      <w:r>
        <w:rPr>
          <w:iCs/>
          <w:i/>
        </w:rPr>
        <w:t xml:space="preserve"> </w:t>
      </w:r>
      <w:r>
        <w:rPr>
          <w:bCs/>
          <w:b/>
          <w:iCs/>
          <w:i/>
        </w:rPr>
        <w:t xml:space="preserve">Taconet, P</w:t>
      </w:r>
      <w:r>
        <w:rPr>
          <w:iCs/>
          <w:i/>
        </w:rPr>
        <w:t xml:space="preserve">. et al. Spatio-temporal analysis and prediction of malaria cases using remote sensing meteorological data in Diébougou health district, Burkina Faso, 2016–2017. Sci Rep 11, 20027 (2021).</w:t>
      </w:r>
      <w:r>
        <w:rPr>
          <w:iCs/>
          <w:i/>
        </w:rPr>
        <w:t xml:space="preserve"> </w:t>
      </w:r>
      <w:hyperlink r:id="rId213">
        <w:r>
          <w:rPr>
            <w:rStyle w:val="Hyperlink"/>
            <w:iCs/>
            <w:i/>
          </w:rPr>
          <w:t xml:space="preserve">https://doi.org/10.1038/s41598-021-99457-9</w:t>
        </w:r>
      </w:hyperlink>
    </w:p>
    <w:bookmarkEnd w:id="497"/>
    <w:bookmarkStart w:id="498" w:name="section"/>
    <w:p>
      <w:pPr>
        <w:pStyle w:val="Heading1"/>
      </w:pPr>
    </w:p>
    <w:p>
      <w:pPr>
        <w:pStyle w:val="FirstParagraph"/>
      </w:pPr>
    </w:p>
    <w:bookmarkEnd w:id="4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dans ce manuscrit, nous employons le terme</w:t>
      </w:r>
      <w:r>
        <w:t xml:space="preserve"> </w:t>
      </w:r>
      <w:r>
        <w:t xml:space="preserve">“</w:t>
      </w:r>
      <w:r>
        <w:t xml:space="preserve">homme</w:t>
      </w:r>
      <w:r>
        <w:t xml:space="preserve">”</w:t>
      </w:r>
      <w:r>
        <w:t xml:space="preserve"> </w:t>
      </w:r>
      <w:r>
        <w:t xml:space="preserve">pour désigner l’être humain en général, selon la définition du dictionnaire Le Robert</w:t>
      </w:r>
    </w:p>
  </w:footnote>
  <w:footnote w:id="60">
    <w:p>
      <w:pPr>
        <w:pStyle w:val="FootnoteText"/>
      </w:pPr>
      <w:r>
        <w:rPr>
          <w:rStyle w:val="FootnoteReference"/>
        </w:rPr>
        <w:footnoteRef/>
      </w:r>
      <w:r>
        <w:t xml:space="preserve"> </w:t>
      </w:r>
      <w:r>
        <w:t xml:space="preserve">Les liens entre environnement et traits de vie des anophèles sont plus largement détaillés dans les chapitres 4 et 5 du manuscrit</w:t>
      </w:r>
    </w:p>
  </w:footnote>
  <w:footnote w:id="66">
    <w:p>
      <w:pPr>
        <w:pStyle w:val="FootnoteText"/>
      </w:pPr>
      <w:r>
        <w:rPr>
          <w:rStyle w:val="FootnoteReference"/>
        </w:rPr>
        <w:footnoteRef/>
      </w:r>
      <w:r>
        <w:t xml:space="preserve"> </w:t>
      </w:r>
      <w:r>
        <w:t xml:space="preserve">Organismes nationaux chargés de mettre en oeuvre les politiques de lutte contre le paludisme</w:t>
      </w:r>
    </w:p>
  </w:footnote>
  <w:footnote w:id="122">
    <w:p>
      <w:pPr>
        <w:pStyle w:val="FootnoteText"/>
      </w:pPr>
      <w:r>
        <w:rPr>
          <w:rStyle w:val="FootnoteReference"/>
        </w:rPr>
        <w:footnoteRef/>
      </w:r>
      <w:r>
        <w:t xml:space="preserve"> </w:t>
      </w:r>
      <w:r>
        <w:t xml:space="preserve">ce point est détaillé dans la section</w:t>
      </w:r>
      <w:r>
        <w:t xml:space="preserve"> </w:t>
      </w:r>
      <w:r>
        <w:t xml:space="preserve">??</w:t>
      </w:r>
      <w:r>
        <w:t xml:space="preserve"> </w:t>
      </w:r>
      <w:r>
        <w:t xml:space="preserve">à suivre</w:t>
      </w:r>
    </w:p>
  </w:footnote>
  <w:footnote w:id="128">
    <w:p>
      <w:pPr>
        <w:pStyle w:val="FootnoteText"/>
      </w:pPr>
      <w:r>
        <w:rPr>
          <w:rStyle w:val="FootnoteReference"/>
        </w:rPr>
        <w:footnoteRef/>
      </w:r>
      <w:r>
        <w:t xml:space="preserve"> </w:t>
      </w:r>
      <w:r>
        <w:t xml:space="preserve">le surraprentissage est la propension du modèle à s’ajuster trop proche des données qui ont été utilisées pour l’entraîner - provoquant ainsi son incapacité à prédire sur de nouvelles données x</w:t>
      </w:r>
    </w:p>
  </w:footnote>
  <w:footnote w:id="207">
    <w:p>
      <w:pPr>
        <w:pStyle w:val="FootnoteText"/>
      </w:pPr>
      <w:r>
        <w:rPr>
          <w:rStyle w:val="FootnoteReference"/>
        </w:rPr>
        <w:footnoteRef/>
      </w:r>
      <w:r>
        <w:t xml:space="preserve"> </w:t>
      </w:r>
      <w:r>
        <w:t xml:space="preserve">issues des enquêtes de comportement humain relatif à l’utilisation des moustiquaires et aux habitudes horaires nocturnes, voir annexe</w:t>
      </w:r>
      <w:r>
        <w:t xml:space="preserve"> </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3" Target="media/rId203.png" /><Relationship Type="http://schemas.openxmlformats.org/officeDocument/2006/relationships/image" Id="rId214" Target="media/rId214.png" /><Relationship Type="http://schemas.openxmlformats.org/officeDocument/2006/relationships/image" Id="rId47" Target="media/rId47.png" /><Relationship Type="http://schemas.openxmlformats.org/officeDocument/2006/relationships/image" Id="rId141" Target="media/rId141.jpg" /><Relationship Type="http://schemas.openxmlformats.org/officeDocument/2006/relationships/image" Id="rId177" Target="media/rId177.pdf" /><Relationship Type="http://schemas.openxmlformats.org/officeDocument/2006/relationships/image" Id="rId52" Target="media/rId52.png" /><Relationship Type="http://schemas.openxmlformats.org/officeDocument/2006/relationships/image" Id="rId107" Target="media/rId107.png" /><Relationship Type="http://schemas.openxmlformats.org/officeDocument/2006/relationships/image" Id="rId38" Target="media/rId38.png" /><Relationship Type="http://schemas.openxmlformats.org/officeDocument/2006/relationships/image" Id="rId87" Target="media/rId8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43" Target="media/rId43.png" /><Relationship Type="http://schemas.openxmlformats.org/officeDocument/2006/relationships/image" Id="rId34" Target="media/rId34.jpg" /><Relationship Type="http://schemas.openxmlformats.org/officeDocument/2006/relationships/image" Id="rId111" Target="media/rId111.png" /><Relationship Type="http://schemas.openxmlformats.org/officeDocument/2006/relationships/image" Id="rId208" Target="media/rId208.png" /><Relationship Type="http://schemas.openxmlformats.org/officeDocument/2006/relationships/image" Id="rId131" Target="media/rId131.png" /><Relationship Type="http://schemas.openxmlformats.org/officeDocument/2006/relationships/image" Id="rId76" Target="media/rId76.png" /><Relationship Type="http://schemas.openxmlformats.org/officeDocument/2006/relationships/image" Id="rId29" Target="media/rId29.png" /><Relationship Type="http://schemas.openxmlformats.org/officeDocument/2006/relationships/image" Id="rId170" Target="media/rId170.png" /><Relationship Type="http://schemas.openxmlformats.org/officeDocument/2006/relationships/image" Id="rId26" Target="media/rId26.png" /><Relationship Type="http://schemas.openxmlformats.org/officeDocument/2006/relationships/image" Id="rId151" Target="media/rId151.pdf" /><Relationship Type="http://schemas.openxmlformats.org/officeDocument/2006/relationships/image" Id="rId154" Target="media/rId154.jpg" /><Relationship Type="http://schemas.openxmlformats.org/officeDocument/2006/relationships/image" Id="rId218" Target="media/rId218.png" /><Relationship Type="http://schemas.openxmlformats.org/officeDocument/2006/relationships/image" Id="rId450" Target="media/rId450.pdf" /><Relationship Type="http://schemas.openxmlformats.org/officeDocument/2006/relationships/image" Id="rId67" Target="media/rId67.png" /><Relationship Type="http://schemas.openxmlformats.org/officeDocument/2006/relationships/image" Id="rId184" Target="media/rId184.pdf" /><Relationship Type="http://schemas.openxmlformats.org/officeDocument/2006/relationships/image" Id="rId181" Target="media/rId181.pdf" /><Relationship Type="http://schemas.openxmlformats.org/officeDocument/2006/relationships/image" Id="rId125" Target="media/rId125.png" /><Relationship Type="http://schemas.openxmlformats.org/officeDocument/2006/relationships/image" Id="rId457" Target="media/rId457.png" /><Relationship Type="http://schemas.openxmlformats.org/officeDocument/2006/relationships/image" Id="rId134" Target="media/rId134.png" /><Relationship Type="http://schemas.openxmlformats.org/officeDocument/2006/relationships/image" Id="rId187" Target="media/rId187.pdf" /><Relationship Type="http://schemas.openxmlformats.org/officeDocument/2006/relationships/image" Id="rId190" Target="media/rId190.pdf" /><Relationship Type="http://schemas.openxmlformats.org/officeDocument/2006/relationships/image" Id="rId462" Target="media/rId462.pdf" /><Relationship Type="http://schemas.openxmlformats.org/officeDocument/2006/relationships/image" Id="rId147" Target="media/rId147.pdf" /><Relationship Type="http://schemas.openxmlformats.org/officeDocument/2006/relationships/image" Id="rId221" Target="media/rId221.png" /><Relationship Type="http://schemas.openxmlformats.org/officeDocument/2006/relationships/image" Id="rId174" Target="media/rId174.pdf"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92" Target="media/rId92.png" /><Relationship Type="http://schemas.openxmlformats.org/officeDocument/2006/relationships/image" Id="rId70" Target="media/rId70.png" /><Relationship Type="http://schemas.openxmlformats.org/officeDocument/2006/relationships/image" Id="rId116" Target="media/rId116.pdf" /><Relationship Type="http://schemas.openxmlformats.org/officeDocument/2006/relationships/image" Id="rId99" Target="media/rId99.pdf" /><Relationship Type="http://schemas.openxmlformats.org/officeDocument/2006/relationships/image" Id="rId157" Target="media/rId157.png" /><Relationship Type="http://schemas.openxmlformats.org/officeDocument/2006/relationships/hyperlink" Id="rId301" Target="http://biorxiv.org/lookup/doi/10.1101/2021.05.17.444456" TargetMode="External" /><Relationship Type="http://schemas.openxmlformats.org/officeDocument/2006/relationships/hyperlink" Id="rId268" Target="http://dx.doi.org/10.5066/F7N014QZ" TargetMode="External" /><Relationship Type="http://schemas.openxmlformats.org/officeDocument/2006/relationships/hyperlink" Id="rId303" Target="http://grass.osgeo.org" TargetMode="External" /><Relationship Type="http://schemas.openxmlformats.org/officeDocument/2006/relationships/hyperlink" Id="rId319" Target="http://pubs.er.usgs.gov/publication/70142175" TargetMode="External" /><Relationship Type="http://schemas.openxmlformats.org/officeDocument/2006/relationships/hyperlink" Id="rId235" Target="http://pubs.er.usgs.gov/publication/pp964" TargetMode="External" /><Relationship Type="http://schemas.openxmlformats.org/officeDocument/2006/relationships/hyperlink" Id="rId262" Target="http://www.documentation.ird.fr/hor/fdi:010047862" TargetMode="External" /><Relationship Type="http://schemas.openxmlformats.org/officeDocument/2006/relationships/hyperlink" Id="rId312" Target="http://www.documentation.ird.fr/hor/fdi:42581" TargetMode="External" /><Relationship Type="http://schemas.openxmlformats.org/officeDocument/2006/relationships/hyperlink" Id="rId390" Target="http://www.rstudio.com/" TargetMode="External" /><Relationship Type="http://schemas.openxmlformats.org/officeDocument/2006/relationships/hyperlink" Id="rId354" Target="http://www.theses.fr/2012MON20177/document" TargetMode="External" /><Relationship Type="http://schemas.openxmlformats.org/officeDocument/2006/relationships/hyperlink" Id="rId344" Target="https://CRAN.R-project.org/doc/Rnews/" TargetMode="External" /><Relationship Type="http://schemas.openxmlformats.org/officeDocument/2006/relationships/hyperlink" Id="rId258" Target="https://CRAN.R-project.org/package=RSAGA" TargetMode="External" /><Relationship Type="http://schemas.openxmlformats.org/officeDocument/2006/relationships/hyperlink" Id="rId439" Target="https://CRAN.R-project.org/package=kableExtra" TargetMode="External" /><Relationship Type="http://schemas.openxmlformats.org/officeDocument/2006/relationships/hyperlink" Id="rId229" Target="https://CRAN.R-project.org/package=markdown" TargetMode="External" /><Relationship Type="http://schemas.openxmlformats.org/officeDocument/2006/relationships/hyperlink" Id="rId310" Target="https://CRAN.R-project.org/package=raster" TargetMode="External" /><Relationship Type="http://schemas.openxmlformats.org/officeDocument/2006/relationships/hyperlink" Id="rId252" Target="https://CRAN.R-project.org/package=rgdal" TargetMode="External" /><Relationship Type="http://schemas.openxmlformats.org/officeDocument/2006/relationships/hyperlink" Id="rId250" Target="https://CRAN.R-project.org/package=rgrass7" TargetMode="External" /><Relationship Type="http://schemas.openxmlformats.org/officeDocument/2006/relationships/hyperlink" Id="rId233" Target="https://books.google.fr/books?id=U2BcnQEACAAJ" TargetMode="External" /><Relationship Type="http://schemas.openxmlformats.org/officeDocument/2006/relationships/hyperlink" Id="rId321" Target="https://books.google.fr/books?id=gUb7AQAAQBAJ" TargetMode="External" /><Relationship Type="http://schemas.openxmlformats.org/officeDocument/2006/relationships/hyperlink" Id="rId480" Target="https://disc.gsfc.nasa.gov/" TargetMode="External" /><Relationship Type="http://schemas.openxmlformats.org/officeDocument/2006/relationships/hyperlink" Id="rId327" Target="https://doi.org/10.1002/bies.10385" TargetMode="External" /><Relationship Type="http://schemas.openxmlformats.org/officeDocument/2006/relationships/hyperlink" Id="rId314" Target="https://doi.org/10.1002/rse2.144" TargetMode="External" /><Relationship Type="http://schemas.openxmlformats.org/officeDocument/2006/relationships/hyperlink" Id="rId394" Target="https://doi.org/10.1007/978-1-4020-6666-5_6" TargetMode="External" /><Relationship Type="http://schemas.openxmlformats.org/officeDocument/2006/relationships/hyperlink" Id="rId308" Target="https://doi.org/10.1007/978-3-540-77058-9_4" TargetMode="External" /><Relationship Type="http://schemas.openxmlformats.org/officeDocument/2006/relationships/hyperlink" Id="rId338" Target="https://doi.org/10.1016/B978-0-12-799942-5.00014-7" TargetMode="External" /><Relationship Type="http://schemas.openxmlformats.org/officeDocument/2006/relationships/hyperlink" Id="rId422" Target="https://doi.org/10.1016/S0140-6736(19)31097-9" TargetMode="External" /><Relationship Type="http://schemas.openxmlformats.org/officeDocument/2006/relationships/hyperlink" Id="rId412" Target="https://doi.org/10.1016/j.actatropica.2010.08.005" TargetMode="External" /><Relationship Type="http://schemas.openxmlformats.org/officeDocument/2006/relationships/hyperlink" Id="rId264" Target="https://doi.org/10.1016/j.cois.2019.03.005" TargetMode="External" /><Relationship Type="http://schemas.openxmlformats.org/officeDocument/2006/relationships/hyperlink" Id="rId352" Target="https://doi.org/10.1016/j.envsoft.2017.12.001" TargetMode="External" /><Relationship Type="http://schemas.openxmlformats.org/officeDocument/2006/relationships/hyperlink" Id="rId333" Target="https://doi.org/10.1016/j.trstmh.2007.04.022" TargetMode="External" /><Relationship Type="http://schemas.openxmlformats.org/officeDocument/2006/relationships/hyperlink" Id="rId278" Target="https://doi.org/10.1038/1801333a0" TargetMode="External" /><Relationship Type="http://schemas.openxmlformats.org/officeDocument/2006/relationships/hyperlink" Id="rId248" Target="https://doi.org/10.1038/nature15535" TargetMode="External" /><Relationship Type="http://schemas.openxmlformats.org/officeDocument/2006/relationships/hyperlink" Id="rId260" Target="https://doi.org/10.1038/nmeth.4642" TargetMode="External" /><Relationship Type="http://schemas.openxmlformats.org/officeDocument/2006/relationships/hyperlink" Id="rId246" Target="https://doi.org/10.1038/s41467-021-23707-7" TargetMode="External" /><Relationship Type="http://schemas.openxmlformats.org/officeDocument/2006/relationships/hyperlink" Id="rId213" Target="https://doi.org/10.1038/s41598-021-99457-9" TargetMode="External" /><Relationship Type="http://schemas.openxmlformats.org/officeDocument/2006/relationships/hyperlink" Id="rId367" Target="https://doi.org/10.1042/BJ20051925" TargetMode="External" /><Relationship Type="http://schemas.openxmlformats.org/officeDocument/2006/relationships/hyperlink" Id="rId350" Target="https://doi.org/10.1046/j.1365-2583.1998.72062.x" TargetMode="External" /><Relationship Type="http://schemas.openxmlformats.org/officeDocument/2006/relationships/hyperlink" Id="rId382" Target="https://doi.org/10.1046/j.1365-2583.2000.00209.x" TargetMode="External" /><Relationship Type="http://schemas.openxmlformats.org/officeDocument/2006/relationships/hyperlink" Id="rId340" Target="https://doi.org/10.1051/parasite/1997042187" TargetMode="External" /><Relationship Type="http://schemas.openxmlformats.org/officeDocument/2006/relationships/hyperlink" Id="rId443" Target="https://doi.org/10.1051/parasite/2019040" TargetMode="External" /><Relationship Type="http://schemas.openxmlformats.org/officeDocument/2006/relationships/hyperlink" Id="rId398" Target="https://doi.org/10.1073/pnas.1820646116" TargetMode="External" /><Relationship Type="http://schemas.openxmlformats.org/officeDocument/2006/relationships/hyperlink" Id="rId365" Target="https://doi.org/10.1073/pnas.1900654116" TargetMode="External" /><Relationship Type="http://schemas.openxmlformats.org/officeDocument/2006/relationships/hyperlink" Id="rId363" Target="https://doi.org/10.1073/pnas.2006781117" TargetMode="External" /><Relationship Type="http://schemas.openxmlformats.org/officeDocument/2006/relationships/hyperlink" Id="rId437" Target="https://doi.org/10.1080/07350015.2019.1624293" TargetMode="External" /><Relationship Type="http://schemas.openxmlformats.org/officeDocument/2006/relationships/hyperlink" Id="rId280" Target="https://doi.org/10.1080/15216540701352042" TargetMode="External" /><Relationship Type="http://schemas.openxmlformats.org/officeDocument/2006/relationships/hyperlink" Id="rId346" Target="https://doi.org/10.1093/besa/30.4.41" TargetMode="External" /><Relationship Type="http://schemas.openxmlformats.org/officeDocument/2006/relationships/hyperlink" Id="rId370" Target="https://doi.org/10.1093/cid/ciu797" TargetMode="External" /><Relationship Type="http://schemas.openxmlformats.org/officeDocument/2006/relationships/hyperlink" Id="rId325" Target="https://doi.org/10.1109/TKDE.2017.2720168" TargetMode="External" /><Relationship Type="http://schemas.openxmlformats.org/officeDocument/2006/relationships/hyperlink" Id="rId408" Target="https://doi.org/10.1111/1469-0691.12314" TargetMode="External" /><Relationship Type="http://schemas.openxmlformats.org/officeDocument/2006/relationships/hyperlink" Id="rId435" Target="https://doi.org/10.1111/2041-210X.13686" TargetMode="External" /><Relationship Type="http://schemas.openxmlformats.org/officeDocument/2006/relationships/hyperlink" Id="rId293" Target="https://doi.org/10.1111/evo.12063" TargetMode="External" /><Relationship Type="http://schemas.openxmlformats.org/officeDocument/2006/relationships/hyperlink" Id="rId420" Target="https://doi.org/10.1111/j.1365-2583.2004.00452.x" TargetMode="External" /><Relationship Type="http://schemas.openxmlformats.org/officeDocument/2006/relationships/hyperlink" Id="rId384" Target="https://doi.org/10.1146/annurev-ento-112408-085419" TargetMode="External" /><Relationship Type="http://schemas.openxmlformats.org/officeDocument/2006/relationships/hyperlink" Id="rId414" Target="https://doi.org/10.1186/1471-2334-10-119" TargetMode="External" /><Relationship Type="http://schemas.openxmlformats.org/officeDocument/2006/relationships/hyperlink" Id="rId331" Target="https://doi.org/10.1186/1471-2334-6-161" TargetMode="External" /><Relationship Type="http://schemas.openxmlformats.org/officeDocument/2006/relationships/hyperlink" Id="rId392" Target="https://doi.org/10.1186/1475-2875-10-80" TargetMode="External" /><Relationship Type="http://schemas.openxmlformats.org/officeDocument/2006/relationships/hyperlink" Id="rId329" Target="https://doi.org/10.1186/1475-2875-13-330" TargetMode="External" /><Relationship Type="http://schemas.openxmlformats.org/officeDocument/2006/relationships/hyperlink" Id="rId231" Target="https://doi.org/10.1186/1475-2875-13-417" TargetMode="External" /><Relationship Type="http://schemas.openxmlformats.org/officeDocument/2006/relationships/hyperlink" Id="rId295" Target="https://doi.org/10.1186/1475-2875-6-126" TargetMode="External" /><Relationship Type="http://schemas.openxmlformats.org/officeDocument/2006/relationships/hyperlink" Id="rId361" Target="https://doi.org/10.1186/1475-2875-9-341" TargetMode="External" /><Relationship Type="http://schemas.openxmlformats.org/officeDocument/2006/relationships/hyperlink" Id="rId404" Target="https://doi.org/10.1186/1756-3305-3-117" TargetMode="External" /><Relationship Type="http://schemas.openxmlformats.org/officeDocument/2006/relationships/hyperlink" Id="rId276" Target="https://doi.org/10.1186/1756-3305-3-5" TargetMode="External" /><Relationship Type="http://schemas.openxmlformats.org/officeDocument/2006/relationships/hyperlink" Id="rId406" Target="https://doi.org/10.1186/1756-3305-5-69" TargetMode="External" /><Relationship Type="http://schemas.openxmlformats.org/officeDocument/2006/relationships/hyperlink" Id="rId356" Target="https://doi.org/10.1186/1756-3305-6-71" TargetMode="External" /><Relationship Type="http://schemas.openxmlformats.org/officeDocument/2006/relationships/hyperlink" Id="rId358" Target="https://doi.org/10.1186/1756-3305-7-103" TargetMode="External" /><Relationship Type="http://schemas.openxmlformats.org/officeDocument/2006/relationships/hyperlink" Id="rId202" Target="https://doi.org/10.1186/s12889-021-10304-y" TargetMode="External" /><Relationship Type="http://schemas.openxmlformats.org/officeDocument/2006/relationships/hyperlink" Id="rId433" Target="https://doi.org/10.1186/s13059-019-1800-6" TargetMode="External" /><Relationship Type="http://schemas.openxmlformats.org/officeDocument/2006/relationships/hyperlink" Id="rId441" Target="https://doi.org/10.1186/s13071-019-3404-0" TargetMode="External" /><Relationship Type="http://schemas.openxmlformats.org/officeDocument/2006/relationships/hyperlink" Id="rId167" Target="https://doi.org/10.1186/s13071-021-04851-x" TargetMode="External" /><Relationship Type="http://schemas.openxmlformats.org/officeDocument/2006/relationships/hyperlink" Id="rId400" Target="https://doi.org/10.1214/10-STS330" TargetMode="External" /><Relationship Type="http://schemas.openxmlformats.org/officeDocument/2006/relationships/hyperlink" Id="rId290" Target="https://doi.org/10.1214/aos/1013203451" TargetMode="External" /><Relationship Type="http://schemas.openxmlformats.org/officeDocument/2006/relationships/hyperlink" Id="rId256" Target="https://doi.org/10.1214/ss/1009213726" TargetMode="External" /><Relationship Type="http://schemas.openxmlformats.org/officeDocument/2006/relationships/hyperlink" Id="rId396" Target="https://doi.org/10.1371/journal.pbio.2003489" TargetMode="External" /><Relationship Type="http://schemas.openxmlformats.org/officeDocument/2006/relationships/hyperlink" Id="rId348" Target="https://doi.org/10.1371/journal.pgen.1006303" TargetMode="External" /><Relationship Type="http://schemas.openxmlformats.org/officeDocument/2006/relationships/hyperlink" Id="rId335" Target="https://doi.org/10.1371/journal.pmed.0040229" TargetMode="External" /><Relationship Type="http://schemas.openxmlformats.org/officeDocument/2006/relationships/hyperlink" Id="rId427" Target="https://doi.org/10.1371/journal.pntd.0007831" TargetMode="External" /><Relationship Type="http://schemas.openxmlformats.org/officeDocument/2006/relationships/hyperlink" Id="rId282" Target="https://doi.org/10.1371/journal.pone.0087934" TargetMode="External" /><Relationship Type="http://schemas.openxmlformats.org/officeDocument/2006/relationships/hyperlink" Id="rId410" Target="https://doi.org/10.1371/journal.pone.0236920" TargetMode="External" /><Relationship Type="http://schemas.openxmlformats.org/officeDocument/2006/relationships/hyperlink" Id="rId402" Target="https://doi.org/10.2139/ssrn.1606674" TargetMode="External" /><Relationship Type="http://schemas.openxmlformats.org/officeDocument/2006/relationships/hyperlink" Id="rId374" Target="https://doi.org/10.32614/RJ-2018-009" TargetMode="External" /><Relationship Type="http://schemas.openxmlformats.org/officeDocument/2006/relationships/hyperlink" Id="rId286" Target="https://doi.org/10.3390/ijerph13060584" TargetMode="External" /><Relationship Type="http://schemas.openxmlformats.org/officeDocument/2006/relationships/hyperlink" Id="rId372" Target="https://doi.org/10.3390/rs11161862" TargetMode="External" /><Relationship Type="http://schemas.openxmlformats.org/officeDocument/2006/relationships/hyperlink" Id="rId388" Target="https://doi.org/10.4267/2042/56539" TargetMode="External" /><Relationship Type="http://schemas.openxmlformats.org/officeDocument/2006/relationships/hyperlink" Id="rId239" Target="https://doi.org/10.5067/GPM/IMERG/3B-HH/06" TargetMode="External" /><Relationship Type="http://schemas.openxmlformats.org/officeDocument/2006/relationships/hyperlink" Id="rId266" Target="https://doi.org/10.5067/GPM/IMERGDF/DAY/06" TargetMode="External" /><Relationship Type="http://schemas.openxmlformats.org/officeDocument/2006/relationships/hyperlink" Id="rId323" Target="https://doi.org/10.5067/MEASURES/SRTM/SRTMGL1.003" TargetMode="External" /><Relationship Type="http://schemas.openxmlformats.org/officeDocument/2006/relationships/hyperlink" Id="rId416" Target="https://doi.org/10.5067/MODIS/MOD11A1.006" TargetMode="External" /><Relationship Type="http://schemas.openxmlformats.org/officeDocument/2006/relationships/hyperlink" Id="rId418" Target="https://doi.org/10.5067/MODIS/MYD11A1.006" TargetMode="External" /><Relationship Type="http://schemas.openxmlformats.org/officeDocument/2006/relationships/hyperlink" Id="rId272" Target="https://doi.org/10.5194/gmd-8-1991-2015" TargetMode="External" /><Relationship Type="http://schemas.openxmlformats.org/officeDocument/2006/relationships/hyperlink" Id="rId284" Target="https://doi.org/10.5772/55925" TargetMode="External" /><Relationship Type="http://schemas.openxmlformats.org/officeDocument/2006/relationships/hyperlink" Id="rId274" Target="https://doi.org/10.5772/56117" TargetMode="External" /><Relationship Type="http://schemas.openxmlformats.org/officeDocument/2006/relationships/hyperlink" Id="rId386" Target="https://doi.org/10.5772/intechopen.78375" TargetMode="External" /><Relationship Type="http://schemas.openxmlformats.org/officeDocument/2006/relationships/hyperlink" Id="rId456" Target="https://earthexplorer.usgs.gov/" TargetMode="External" /><Relationship Type="http://schemas.openxmlformats.org/officeDocument/2006/relationships/hyperlink" Id="rId492" Target="https://en.ird.fr/" TargetMode="External" /><Relationship Type="http://schemas.openxmlformats.org/officeDocument/2006/relationships/hyperlink" Id="rId472" Target="https://github.com/MatMatt/MODIS" TargetMode="External" /><Relationship Type="http://schemas.openxmlformats.org/officeDocument/2006/relationships/hyperlink" Id="rId490" Target="https://github.com/Nmoiroux" TargetMode="External" /><Relationship Type="http://schemas.openxmlformats.org/officeDocument/2006/relationships/hyperlink" Id="rId489" Target="https://github.com/floriandeboissieu" TargetMode="External" /><Relationship Type="http://schemas.openxmlformats.org/officeDocument/2006/relationships/hyperlink" Id="rId146" Target="https://github.com/ptaconet/opendapr" TargetMode="External" /><Relationship Type="http://schemas.openxmlformats.org/officeDocument/2006/relationships/hyperlink" Id="rId474" Target="https://github.com/ropensci/MODISTools" TargetMode="External" /><Relationship Type="http://schemas.openxmlformats.org/officeDocument/2006/relationships/hyperlink" Id="rId473" Target="https://github.com/ropensci/MODIStsp" TargetMode="External" /><Relationship Type="http://schemas.openxmlformats.org/officeDocument/2006/relationships/hyperlink" Id="rId475" Target="https://github.com/ropensci/smapr" TargetMode="External" /><Relationship Type="http://schemas.openxmlformats.org/officeDocument/2006/relationships/hyperlink" Id="rId429" Target="https://github.com/rstudio/bookdown" TargetMode="External" /><Relationship Type="http://schemas.openxmlformats.org/officeDocument/2006/relationships/hyperlink" Id="rId481" Target="https://gpm1.gesdisc.eosdis.nasa.gov/opendap/GPM_L3" TargetMode="External" /><Relationship Type="http://schemas.openxmlformats.org/officeDocument/2006/relationships/hyperlink" Id="rId479" Target="https://ladsweb.modaps.eosdis.nasa.gov/opendap/hyrax/allData/5000/" TargetMode="External" /><Relationship Type="http://schemas.openxmlformats.org/officeDocument/2006/relationships/hyperlink" Id="rId477" Target="https://lpdaac.usgs.gov/" TargetMode="External" /><Relationship Type="http://schemas.openxmlformats.org/officeDocument/2006/relationships/hyperlink" Id="rId467" Target="https://lpdaac.usgs.gov/data/get-started-data/collection-overview/missions/modis-overview/" TargetMode="External" /><Relationship Type="http://schemas.openxmlformats.org/officeDocument/2006/relationships/hyperlink" Id="rId468" Target="https://lpdaac.usgs.gov/data/get-started-data/collection-overview/missions/s-npp-nasa-viirs-overview/" TargetMode="External" /><Relationship Type="http://schemas.openxmlformats.org/officeDocument/2006/relationships/hyperlink" Id="rId483" Target="https://n5eil02u.ecs.nsidc.org/opendap/SMAP/" TargetMode="External" /><Relationship Type="http://schemas.openxmlformats.org/officeDocument/2006/relationships/hyperlink" Id="rId482" Target="https://nsidc.org/" TargetMode="External" /><Relationship Type="http://schemas.openxmlformats.org/officeDocument/2006/relationships/hyperlink" Id="rId478" Target="https://opendap.cr.usgs.gov/opendap/hyrax/" TargetMode="External" /><Relationship Type="http://schemas.openxmlformats.org/officeDocument/2006/relationships/hyperlink" Id="rId145" Target="https://opendap.cr.usgs.gov/opendap/hyrax/MOD11A1.006/h17v08.ncml.nc4?MODIS_Grid_Daily_1km_LST_eos_cf_projection,LST_Day_1km" TargetMode="External" /><Relationship Type="http://schemas.openxmlformats.org/officeDocument/2006/relationships/hyperlink" Id="rId469" Target="https://pmm.nasa.gov/GPM" TargetMode="External" /><Relationship Type="http://schemas.openxmlformats.org/officeDocument/2006/relationships/hyperlink" Id="rId485" Target="https://ptaconet.github.io/opendapr/articles/opendapr1.html" TargetMode="External" /><Relationship Type="http://schemas.openxmlformats.org/officeDocument/2006/relationships/hyperlink" Id="rId486" Target="https://ptaconet.github.io/opendapr/articles/opendapr2.html" TargetMode="External" /><Relationship Type="http://schemas.openxmlformats.org/officeDocument/2006/relationships/hyperlink" Id="rId470" Target="https://smap.jpl.nasa.gov/" TargetMode="External" /><Relationship Type="http://schemas.openxmlformats.org/officeDocument/2006/relationships/hyperlink" Id="rId380" Target="https://www.R-project.org/" TargetMode="External" /><Relationship Type="http://schemas.openxmlformats.org/officeDocument/2006/relationships/hyperlink" Id="rId244" Target="https://www.documentation.ird.fr/hor/fdi:15172" TargetMode="External" /><Relationship Type="http://schemas.openxmlformats.org/officeDocument/2006/relationships/hyperlink" Id="rId491" Target="https://www.mivegec.ird.fr/en/" TargetMode="External" /><Relationship Type="http://schemas.openxmlformats.org/officeDocument/2006/relationships/hyperlink" Id="rId306" Target="https://www.ncbi.nlm.nih.gov/pubmed/12749495" TargetMode="External" /><Relationship Type="http://schemas.openxmlformats.org/officeDocument/2006/relationships/hyperlink" Id="rId297" Target="https://www.ncbi.nlm.nih.gov/pubmed/13060242" TargetMode="External" /><Relationship Type="http://schemas.openxmlformats.org/officeDocument/2006/relationships/hyperlink" Id="rId471" Target="https://www.opendap.org/about" TargetMode="External" /><Relationship Type="http://schemas.openxmlformats.org/officeDocument/2006/relationships/hyperlink" Id="rId237" Target="https://www.persee.fr/doc/dreso_0769-3362_1986_num_4_1_1528_t1_0464_0000_2" TargetMode="External" /><Relationship Type="http://schemas.openxmlformats.org/officeDocument/2006/relationships/hyperlink" Id="rId378" Target="https://www.qgis.org" TargetMode="External" /><Relationship Type="http://schemas.openxmlformats.org/officeDocument/2006/relationships/hyperlink" Id="rId425" Target="https://www.who.int/publications-detail-redirect/9789240040496" TargetMode="External" /><Relationship Type="http://schemas.openxmlformats.org/officeDocument/2006/relationships/hyperlink" Id="rId342" Target="https://www.youtube.com/watch?v=ZizfWA7fyto" TargetMode="External" /><Relationship Type="http://schemas.openxmlformats.org/officeDocument/2006/relationships/hyperlink" Id="rId431"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301" Target="http://biorxiv.org/lookup/doi/10.1101/2021.05.17.444456" TargetMode="External" /><Relationship Type="http://schemas.openxmlformats.org/officeDocument/2006/relationships/hyperlink" Id="rId268" Target="http://dx.doi.org/10.5066/F7N014QZ" TargetMode="External" /><Relationship Type="http://schemas.openxmlformats.org/officeDocument/2006/relationships/hyperlink" Id="rId303" Target="http://grass.osgeo.org" TargetMode="External" /><Relationship Type="http://schemas.openxmlformats.org/officeDocument/2006/relationships/hyperlink" Id="rId319" Target="http://pubs.er.usgs.gov/publication/70142175" TargetMode="External" /><Relationship Type="http://schemas.openxmlformats.org/officeDocument/2006/relationships/hyperlink" Id="rId235" Target="http://pubs.er.usgs.gov/publication/pp964" TargetMode="External" /><Relationship Type="http://schemas.openxmlformats.org/officeDocument/2006/relationships/hyperlink" Id="rId262" Target="http://www.documentation.ird.fr/hor/fdi:010047862" TargetMode="External" /><Relationship Type="http://schemas.openxmlformats.org/officeDocument/2006/relationships/hyperlink" Id="rId312" Target="http://www.documentation.ird.fr/hor/fdi:42581" TargetMode="External" /><Relationship Type="http://schemas.openxmlformats.org/officeDocument/2006/relationships/hyperlink" Id="rId390" Target="http://www.rstudio.com/" TargetMode="External" /><Relationship Type="http://schemas.openxmlformats.org/officeDocument/2006/relationships/hyperlink" Id="rId354" Target="http://www.theses.fr/2012MON20177/document" TargetMode="External" /><Relationship Type="http://schemas.openxmlformats.org/officeDocument/2006/relationships/hyperlink" Id="rId344" Target="https://CRAN.R-project.org/doc/Rnews/" TargetMode="External" /><Relationship Type="http://schemas.openxmlformats.org/officeDocument/2006/relationships/hyperlink" Id="rId258" Target="https://CRAN.R-project.org/package=RSAGA" TargetMode="External" /><Relationship Type="http://schemas.openxmlformats.org/officeDocument/2006/relationships/hyperlink" Id="rId439" Target="https://CRAN.R-project.org/package=kableExtra" TargetMode="External" /><Relationship Type="http://schemas.openxmlformats.org/officeDocument/2006/relationships/hyperlink" Id="rId229" Target="https://CRAN.R-project.org/package=markdown" TargetMode="External" /><Relationship Type="http://schemas.openxmlformats.org/officeDocument/2006/relationships/hyperlink" Id="rId310" Target="https://CRAN.R-project.org/package=raster" TargetMode="External" /><Relationship Type="http://schemas.openxmlformats.org/officeDocument/2006/relationships/hyperlink" Id="rId252" Target="https://CRAN.R-project.org/package=rgdal" TargetMode="External" /><Relationship Type="http://schemas.openxmlformats.org/officeDocument/2006/relationships/hyperlink" Id="rId250" Target="https://CRAN.R-project.org/package=rgrass7" TargetMode="External" /><Relationship Type="http://schemas.openxmlformats.org/officeDocument/2006/relationships/hyperlink" Id="rId233" Target="https://books.google.fr/books?id=U2BcnQEACAAJ" TargetMode="External" /><Relationship Type="http://schemas.openxmlformats.org/officeDocument/2006/relationships/hyperlink" Id="rId321" Target="https://books.google.fr/books?id=gUb7AQAAQBAJ" TargetMode="External" /><Relationship Type="http://schemas.openxmlformats.org/officeDocument/2006/relationships/hyperlink" Id="rId480" Target="https://disc.gsfc.nasa.gov/" TargetMode="External" /><Relationship Type="http://schemas.openxmlformats.org/officeDocument/2006/relationships/hyperlink" Id="rId327" Target="https://doi.org/10.1002/bies.10385" TargetMode="External" /><Relationship Type="http://schemas.openxmlformats.org/officeDocument/2006/relationships/hyperlink" Id="rId314" Target="https://doi.org/10.1002/rse2.144" TargetMode="External" /><Relationship Type="http://schemas.openxmlformats.org/officeDocument/2006/relationships/hyperlink" Id="rId394" Target="https://doi.org/10.1007/978-1-4020-6666-5_6" TargetMode="External" /><Relationship Type="http://schemas.openxmlformats.org/officeDocument/2006/relationships/hyperlink" Id="rId308" Target="https://doi.org/10.1007/978-3-540-77058-9_4" TargetMode="External" /><Relationship Type="http://schemas.openxmlformats.org/officeDocument/2006/relationships/hyperlink" Id="rId338" Target="https://doi.org/10.1016/B978-0-12-799942-5.00014-7" TargetMode="External" /><Relationship Type="http://schemas.openxmlformats.org/officeDocument/2006/relationships/hyperlink" Id="rId422" Target="https://doi.org/10.1016/S0140-6736(19)31097-9" TargetMode="External" /><Relationship Type="http://schemas.openxmlformats.org/officeDocument/2006/relationships/hyperlink" Id="rId412" Target="https://doi.org/10.1016/j.actatropica.2010.08.005" TargetMode="External" /><Relationship Type="http://schemas.openxmlformats.org/officeDocument/2006/relationships/hyperlink" Id="rId264" Target="https://doi.org/10.1016/j.cois.2019.03.005" TargetMode="External" /><Relationship Type="http://schemas.openxmlformats.org/officeDocument/2006/relationships/hyperlink" Id="rId352" Target="https://doi.org/10.1016/j.envsoft.2017.12.001" TargetMode="External" /><Relationship Type="http://schemas.openxmlformats.org/officeDocument/2006/relationships/hyperlink" Id="rId333" Target="https://doi.org/10.1016/j.trstmh.2007.04.022" TargetMode="External" /><Relationship Type="http://schemas.openxmlformats.org/officeDocument/2006/relationships/hyperlink" Id="rId278" Target="https://doi.org/10.1038/1801333a0" TargetMode="External" /><Relationship Type="http://schemas.openxmlformats.org/officeDocument/2006/relationships/hyperlink" Id="rId248" Target="https://doi.org/10.1038/nature15535" TargetMode="External" /><Relationship Type="http://schemas.openxmlformats.org/officeDocument/2006/relationships/hyperlink" Id="rId260" Target="https://doi.org/10.1038/nmeth.4642" TargetMode="External" /><Relationship Type="http://schemas.openxmlformats.org/officeDocument/2006/relationships/hyperlink" Id="rId246" Target="https://doi.org/10.1038/s41467-021-23707-7" TargetMode="External" /><Relationship Type="http://schemas.openxmlformats.org/officeDocument/2006/relationships/hyperlink" Id="rId213" Target="https://doi.org/10.1038/s41598-021-99457-9" TargetMode="External" /><Relationship Type="http://schemas.openxmlformats.org/officeDocument/2006/relationships/hyperlink" Id="rId367" Target="https://doi.org/10.1042/BJ20051925" TargetMode="External" /><Relationship Type="http://schemas.openxmlformats.org/officeDocument/2006/relationships/hyperlink" Id="rId350" Target="https://doi.org/10.1046/j.1365-2583.1998.72062.x" TargetMode="External" /><Relationship Type="http://schemas.openxmlformats.org/officeDocument/2006/relationships/hyperlink" Id="rId382" Target="https://doi.org/10.1046/j.1365-2583.2000.00209.x" TargetMode="External" /><Relationship Type="http://schemas.openxmlformats.org/officeDocument/2006/relationships/hyperlink" Id="rId340" Target="https://doi.org/10.1051/parasite/1997042187" TargetMode="External" /><Relationship Type="http://schemas.openxmlformats.org/officeDocument/2006/relationships/hyperlink" Id="rId443" Target="https://doi.org/10.1051/parasite/2019040" TargetMode="External" /><Relationship Type="http://schemas.openxmlformats.org/officeDocument/2006/relationships/hyperlink" Id="rId398" Target="https://doi.org/10.1073/pnas.1820646116" TargetMode="External" /><Relationship Type="http://schemas.openxmlformats.org/officeDocument/2006/relationships/hyperlink" Id="rId365" Target="https://doi.org/10.1073/pnas.1900654116" TargetMode="External" /><Relationship Type="http://schemas.openxmlformats.org/officeDocument/2006/relationships/hyperlink" Id="rId363" Target="https://doi.org/10.1073/pnas.2006781117" TargetMode="External" /><Relationship Type="http://schemas.openxmlformats.org/officeDocument/2006/relationships/hyperlink" Id="rId437" Target="https://doi.org/10.1080/07350015.2019.1624293" TargetMode="External" /><Relationship Type="http://schemas.openxmlformats.org/officeDocument/2006/relationships/hyperlink" Id="rId280" Target="https://doi.org/10.1080/15216540701352042" TargetMode="External" /><Relationship Type="http://schemas.openxmlformats.org/officeDocument/2006/relationships/hyperlink" Id="rId346" Target="https://doi.org/10.1093/besa/30.4.41" TargetMode="External" /><Relationship Type="http://schemas.openxmlformats.org/officeDocument/2006/relationships/hyperlink" Id="rId370" Target="https://doi.org/10.1093/cid/ciu797" TargetMode="External" /><Relationship Type="http://schemas.openxmlformats.org/officeDocument/2006/relationships/hyperlink" Id="rId325" Target="https://doi.org/10.1109/TKDE.2017.2720168" TargetMode="External" /><Relationship Type="http://schemas.openxmlformats.org/officeDocument/2006/relationships/hyperlink" Id="rId408" Target="https://doi.org/10.1111/1469-0691.12314" TargetMode="External" /><Relationship Type="http://schemas.openxmlformats.org/officeDocument/2006/relationships/hyperlink" Id="rId435" Target="https://doi.org/10.1111/2041-210X.13686" TargetMode="External" /><Relationship Type="http://schemas.openxmlformats.org/officeDocument/2006/relationships/hyperlink" Id="rId293" Target="https://doi.org/10.1111/evo.12063" TargetMode="External" /><Relationship Type="http://schemas.openxmlformats.org/officeDocument/2006/relationships/hyperlink" Id="rId420" Target="https://doi.org/10.1111/j.1365-2583.2004.00452.x" TargetMode="External" /><Relationship Type="http://schemas.openxmlformats.org/officeDocument/2006/relationships/hyperlink" Id="rId384" Target="https://doi.org/10.1146/annurev-ento-112408-085419" TargetMode="External" /><Relationship Type="http://schemas.openxmlformats.org/officeDocument/2006/relationships/hyperlink" Id="rId414" Target="https://doi.org/10.1186/1471-2334-10-119" TargetMode="External" /><Relationship Type="http://schemas.openxmlformats.org/officeDocument/2006/relationships/hyperlink" Id="rId331" Target="https://doi.org/10.1186/1471-2334-6-161" TargetMode="External" /><Relationship Type="http://schemas.openxmlformats.org/officeDocument/2006/relationships/hyperlink" Id="rId392" Target="https://doi.org/10.1186/1475-2875-10-80" TargetMode="External" /><Relationship Type="http://schemas.openxmlformats.org/officeDocument/2006/relationships/hyperlink" Id="rId329" Target="https://doi.org/10.1186/1475-2875-13-330" TargetMode="External" /><Relationship Type="http://schemas.openxmlformats.org/officeDocument/2006/relationships/hyperlink" Id="rId231" Target="https://doi.org/10.1186/1475-2875-13-417" TargetMode="External" /><Relationship Type="http://schemas.openxmlformats.org/officeDocument/2006/relationships/hyperlink" Id="rId295" Target="https://doi.org/10.1186/1475-2875-6-126" TargetMode="External" /><Relationship Type="http://schemas.openxmlformats.org/officeDocument/2006/relationships/hyperlink" Id="rId361" Target="https://doi.org/10.1186/1475-2875-9-341" TargetMode="External" /><Relationship Type="http://schemas.openxmlformats.org/officeDocument/2006/relationships/hyperlink" Id="rId404" Target="https://doi.org/10.1186/1756-3305-3-117" TargetMode="External" /><Relationship Type="http://schemas.openxmlformats.org/officeDocument/2006/relationships/hyperlink" Id="rId276" Target="https://doi.org/10.1186/1756-3305-3-5" TargetMode="External" /><Relationship Type="http://schemas.openxmlformats.org/officeDocument/2006/relationships/hyperlink" Id="rId406" Target="https://doi.org/10.1186/1756-3305-5-69" TargetMode="External" /><Relationship Type="http://schemas.openxmlformats.org/officeDocument/2006/relationships/hyperlink" Id="rId356" Target="https://doi.org/10.1186/1756-3305-6-71" TargetMode="External" /><Relationship Type="http://schemas.openxmlformats.org/officeDocument/2006/relationships/hyperlink" Id="rId358" Target="https://doi.org/10.1186/1756-3305-7-103" TargetMode="External" /><Relationship Type="http://schemas.openxmlformats.org/officeDocument/2006/relationships/hyperlink" Id="rId202" Target="https://doi.org/10.1186/s12889-021-10304-y" TargetMode="External" /><Relationship Type="http://schemas.openxmlformats.org/officeDocument/2006/relationships/hyperlink" Id="rId433" Target="https://doi.org/10.1186/s13059-019-1800-6" TargetMode="External" /><Relationship Type="http://schemas.openxmlformats.org/officeDocument/2006/relationships/hyperlink" Id="rId441" Target="https://doi.org/10.1186/s13071-019-3404-0" TargetMode="External" /><Relationship Type="http://schemas.openxmlformats.org/officeDocument/2006/relationships/hyperlink" Id="rId167" Target="https://doi.org/10.1186/s13071-021-04851-x" TargetMode="External" /><Relationship Type="http://schemas.openxmlformats.org/officeDocument/2006/relationships/hyperlink" Id="rId400" Target="https://doi.org/10.1214/10-STS330" TargetMode="External" /><Relationship Type="http://schemas.openxmlformats.org/officeDocument/2006/relationships/hyperlink" Id="rId290" Target="https://doi.org/10.1214/aos/1013203451" TargetMode="External" /><Relationship Type="http://schemas.openxmlformats.org/officeDocument/2006/relationships/hyperlink" Id="rId256" Target="https://doi.org/10.1214/ss/1009213726" TargetMode="External" /><Relationship Type="http://schemas.openxmlformats.org/officeDocument/2006/relationships/hyperlink" Id="rId396" Target="https://doi.org/10.1371/journal.pbio.2003489" TargetMode="External" /><Relationship Type="http://schemas.openxmlformats.org/officeDocument/2006/relationships/hyperlink" Id="rId348" Target="https://doi.org/10.1371/journal.pgen.1006303" TargetMode="External" /><Relationship Type="http://schemas.openxmlformats.org/officeDocument/2006/relationships/hyperlink" Id="rId335" Target="https://doi.org/10.1371/journal.pmed.0040229" TargetMode="External" /><Relationship Type="http://schemas.openxmlformats.org/officeDocument/2006/relationships/hyperlink" Id="rId427" Target="https://doi.org/10.1371/journal.pntd.0007831" TargetMode="External" /><Relationship Type="http://schemas.openxmlformats.org/officeDocument/2006/relationships/hyperlink" Id="rId282" Target="https://doi.org/10.1371/journal.pone.0087934" TargetMode="External" /><Relationship Type="http://schemas.openxmlformats.org/officeDocument/2006/relationships/hyperlink" Id="rId410" Target="https://doi.org/10.1371/journal.pone.0236920" TargetMode="External" /><Relationship Type="http://schemas.openxmlformats.org/officeDocument/2006/relationships/hyperlink" Id="rId402" Target="https://doi.org/10.2139/ssrn.1606674" TargetMode="External" /><Relationship Type="http://schemas.openxmlformats.org/officeDocument/2006/relationships/hyperlink" Id="rId374" Target="https://doi.org/10.32614/RJ-2018-009" TargetMode="External" /><Relationship Type="http://schemas.openxmlformats.org/officeDocument/2006/relationships/hyperlink" Id="rId286" Target="https://doi.org/10.3390/ijerph13060584" TargetMode="External" /><Relationship Type="http://schemas.openxmlformats.org/officeDocument/2006/relationships/hyperlink" Id="rId372" Target="https://doi.org/10.3390/rs11161862" TargetMode="External" /><Relationship Type="http://schemas.openxmlformats.org/officeDocument/2006/relationships/hyperlink" Id="rId388" Target="https://doi.org/10.4267/2042/56539" TargetMode="External" /><Relationship Type="http://schemas.openxmlformats.org/officeDocument/2006/relationships/hyperlink" Id="rId239" Target="https://doi.org/10.5067/GPM/IMERG/3B-HH/06" TargetMode="External" /><Relationship Type="http://schemas.openxmlformats.org/officeDocument/2006/relationships/hyperlink" Id="rId266" Target="https://doi.org/10.5067/GPM/IMERGDF/DAY/06" TargetMode="External" /><Relationship Type="http://schemas.openxmlformats.org/officeDocument/2006/relationships/hyperlink" Id="rId323" Target="https://doi.org/10.5067/MEASURES/SRTM/SRTMGL1.003" TargetMode="External" /><Relationship Type="http://schemas.openxmlformats.org/officeDocument/2006/relationships/hyperlink" Id="rId416" Target="https://doi.org/10.5067/MODIS/MOD11A1.006" TargetMode="External" /><Relationship Type="http://schemas.openxmlformats.org/officeDocument/2006/relationships/hyperlink" Id="rId418" Target="https://doi.org/10.5067/MODIS/MYD11A1.006" TargetMode="External" /><Relationship Type="http://schemas.openxmlformats.org/officeDocument/2006/relationships/hyperlink" Id="rId272" Target="https://doi.org/10.5194/gmd-8-1991-2015" TargetMode="External" /><Relationship Type="http://schemas.openxmlformats.org/officeDocument/2006/relationships/hyperlink" Id="rId284" Target="https://doi.org/10.5772/55925" TargetMode="External" /><Relationship Type="http://schemas.openxmlformats.org/officeDocument/2006/relationships/hyperlink" Id="rId274" Target="https://doi.org/10.5772/56117" TargetMode="External" /><Relationship Type="http://schemas.openxmlformats.org/officeDocument/2006/relationships/hyperlink" Id="rId386" Target="https://doi.org/10.5772/intechopen.78375" TargetMode="External" /><Relationship Type="http://schemas.openxmlformats.org/officeDocument/2006/relationships/hyperlink" Id="rId456" Target="https://earthexplorer.usgs.gov/" TargetMode="External" /><Relationship Type="http://schemas.openxmlformats.org/officeDocument/2006/relationships/hyperlink" Id="rId492" Target="https://en.ird.fr/" TargetMode="External" /><Relationship Type="http://schemas.openxmlformats.org/officeDocument/2006/relationships/hyperlink" Id="rId472" Target="https://github.com/MatMatt/MODIS" TargetMode="External" /><Relationship Type="http://schemas.openxmlformats.org/officeDocument/2006/relationships/hyperlink" Id="rId490" Target="https://github.com/Nmoiroux" TargetMode="External" /><Relationship Type="http://schemas.openxmlformats.org/officeDocument/2006/relationships/hyperlink" Id="rId489" Target="https://github.com/floriandeboissieu" TargetMode="External" /><Relationship Type="http://schemas.openxmlformats.org/officeDocument/2006/relationships/hyperlink" Id="rId146" Target="https://github.com/ptaconet/opendapr" TargetMode="External" /><Relationship Type="http://schemas.openxmlformats.org/officeDocument/2006/relationships/hyperlink" Id="rId474" Target="https://github.com/ropensci/MODISTools" TargetMode="External" /><Relationship Type="http://schemas.openxmlformats.org/officeDocument/2006/relationships/hyperlink" Id="rId473" Target="https://github.com/ropensci/MODIStsp" TargetMode="External" /><Relationship Type="http://schemas.openxmlformats.org/officeDocument/2006/relationships/hyperlink" Id="rId475" Target="https://github.com/ropensci/smapr" TargetMode="External" /><Relationship Type="http://schemas.openxmlformats.org/officeDocument/2006/relationships/hyperlink" Id="rId429" Target="https://github.com/rstudio/bookdown" TargetMode="External" /><Relationship Type="http://schemas.openxmlformats.org/officeDocument/2006/relationships/hyperlink" Id="rId481" Target="https://gpm1.gesdisc.eosdis.nasa.gov/opendap/GPM_L3" TargetMode="External" /><Relationship Type="http://schemas.openxmlformats.org/officeDocument/2006/relationships/hyperlink" Id="rId479" Target="https://ladsweb.modaps.eosdis.nasa.gov/opendap/hyrax/allData/5000/" TargetMode="External" /><Relationship Type="http://schemas.openxmlformats.org/officeDocument/2006/relationships/hyperlink" Id="rId477" Target="https://lpdaac.usgs.gov/" TargetMode="External" /><Relationship Type="http://schemas.openxmlformats.org/officeDocument/2006/relationships/hyperlink" Id="rId467" Target="https://lpdaac.usgs.gov/data/get-started-data/collection-overview/missions/modis-overview/" TargetMode="External" /><Relationship Type="http://schemas.openxmlformats.org/officeDocument/2006/relationships/hyperlink" Id="rId468" Target="https://lpdaac.usgs.gov/data/get-started-data/collection-overview/missions/s-npp-nasa-viirs-overview/" TargetMode="External" /><Relationship Type="http://schemas.openxmlformats.org/officeDocument/2006/relationships/hyperlink" Id="rId483" Target="https://n5eil02u.ecs.nsidc.org/opendap/SMAP/" TargetMode="External" /><Relationship Type="http://schemas.openxmlformats.org/officeDocument/2006/relationships/hyperlink" Id="rId482" Target="https://nsidc.org/" TargetMode="External" /><Relationship Type="http://schemas.openxmlformats.org/officeDocument/2006/relationships/hyperlink" Id="rId478" Target="https://opendap.cr.usgs.gov/opendap/hyrax/" TargetMode="External" /><Relationship Type="http://schemas.openxmlformats.org/officeDocument/2006/relationships/hyperlink" Id="rId145" Target="https://opendap.cr.usgs.gov/opendap/hyrax/MOD11A1.006/h17v08.ncml.nc4?MODIS_Grid_Daily_1km_LST_eos_cf_projection,LST_Day_1km" TargetMode="External" /><Relationship Type="http://schemas.openxmlformats.org/officeDocument/2006/relationships/hyperlink" Id="rId469" Target="https://pmm.nasa.gov/GPM" TargetMode="External" /><Relationship Type="http://schemas.openxmlformats.org/officeDocument/2006/relationships/hyperlink" Id="rId485" Target="https://ptaconet.github.io/opendapr/articles/opendapr1.html" TargetMode="External" /><Relationship Type="http://schemas.openxmlformats.org/officeDocument/2006/relationships/hyperlink" Id="rId486" Target="https://ptaconet.github.io/opendapr/articles/opendapr2.html" TargetMode="External" /><Relationship Type="http://schemas.openxmlformats.org/officeDocument/2006/relationships/hyperlink" Id="rId470" Target="https://smap.jpl.nasa.gov/" TargetMode="External" /><Relationship Type="http://schemas.openxmlformats.org/officeDocument/2006/relationships/hyperlink" Id="rId380" Target="https://www.R-project.org/" TargetMode="External" /><Relationship Type="http://schemas.openxmlformats.org/officeDocument/2006/relationships/hyperlink" Id="rId244" Target="https://www.documentation.ird.fr/hor/fdi:15172" TargetMode="External" /><Relationship Type="http://schemas.openxmlformats.org/officeDocument/2006/relationships/hyperlink" Id="rId491" Target="https://www.mivegec.ird.fr/en/" TargetMode="External" /><Relationship Type="http://schemas.openxmlformats.org/officeDocument/2006/relationships/hyperlink" Id="rId306" Target="https://www.ncbi.nlm.nih.gov/pubmed/12749495" TargetMode="External" /><Relationship Type="http://schemas.openxmlformats.org/officeDocument/2006/relationships/hyperlink" Id="rId297" Target="https://www.ncbi.nlm.nih.gov/pubmed/13060242" TargetMode="External" /><Relationship Type="http://schemas.openxmlformats.org/officeDocument/2006/relationships/hyperlink" Id="rId471" Target="https://www.opendap.org/about" TargetMode="External" /><Relationship Type="http://schemas.openxmlformats.org/officeDocument/2006/relationships/hyperlink" Id="rId237" Target="https://www.persee.fr/doc/dreso_0769-3362_1986_num_4_1_1528_t1_0464_0000_2" TargetMode="External" /><Relationship Type="http://schemas.openxmlformats.org/officeDocument/2006/relationships/hyperlink" Id="rId378" Target="https://www.qgis.org" TargetMode="External" /><Relationship Type="http://schemas.openxmlformats.org/officeDocument/2006/relationships/hyperlink" Id="rId425" Target="https://www.who.int/publications-detail-redirect/9789240040496" TargetMode="External" /><Relationship Type="http://schemas.openxmlformats.org/officeDocument/2006/relationships/hyperlink" Id="rId342" Target="https://www.youtube.com/watch?v=ZizfWA7fyto" TargetMode="External" /><Relationship Type="http://schemas.openxmlformats.org/officeDocument/2006/relationships/hyperlink" Id="rId431"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Fouille de données spatio-temporelles pour l’étude du risque de transmission résiduelle du paludisme à échelle paysagère en milieu rural ouest-africain</dc:title>
  <dc:creator>Paul TACONET</dc:creator>
  <cp:keywords/>
  <dcterms:created xsi:type="dcterms:W3CDTF">2022-02-28T08:08:43Z</dcterms:created>
  <dcterms:modified xsi:type="dcterms:W3CDTF">2022-02-28T08:08:43Z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cknowledgements">
    <vt:lpwstr/>
  </property>
  <property fmtid="{D5CDD505-2E9C-101B-9397-08002B2CF9AE}" pid="4" name="advisor">
    <vt:lpwstr>Nicolas MOIROUX</vt:lpwstr>
  </property>
  <property fmtid="{D5CDD505-2E9C-101B-9397-08002B2CF9AE}" pid="5" name="bibliography">
    <vt:lpwstr>bib/thesis.bib</vt:lpwstr>
  </property>
  <property fmtid="{D5CDD505-2E9C-101B-9397-08002B2CF9AE}" pid="6" name="csl">
    <vt:lpwstr>csl/apa.csl</vt:lpwstr>
  </property>
  <property fmtid="{D5CDD505-2E9C-101B-9397-08002B2CF9AE}" pid="7" name="date">
    <vt:lpwstr>XX Mai 2022</vt:lpwstr>
  </property>
  <property fmtid="{D5CDD505-2E9C-101B-9397-08002B2CF9AE}" pid="8" name="dedication">
    <vt:lpwstr>BF : Burkina Faso cad. : c’est-à-dire CI : Côte d’Ivoire CCM : Cross-Correlation Map EIC : European Innovation Council GAM : Generalized Additive Model GLMM : Generalized Linear Mixed Model GPM : Global Precipitation Measurement HBHI : High Burden to High Impact ICE : Individual Conditional Expectation LAV : Lutte Anti-Vectorielle LIME : Local interpretable model-agnostic explanations LST : Land Surface Temperature MAP : Malaria Atlas Project MIILDA : Moustiquaire Imprégnée d’Insecticide à Longue Durée d’Action MODIS : Moderate Resolution Imaging Spectroradiometer MNT : Modèle Numérique de Terrain NASA : National Aeronotics and Space Agency NDVI : Normalized Difference Vegetation Index OMS : Organisation Mondiale de la Santé OPeNDAP : Open-source Project for a Network Data Acces Protocol PDP : Partial Dependence Plot PID : Pulvérisations Intra-Domiciliaires d’insecticide à effet rémanent PNLP : Programmes National de Lutte contre le Paludisme SHAP : SHapley Additive exPlanations SIG : Système d’Information Géographique SMI : Synthetic Meteorological Indicator SPOT : Satellite pour l’Observation de la Terre SRTM : Shuttle Radar Topography Mission</vt:lpwstr>
  </property>
  <property fmtid="{D5CDD505-2E9C-101B-9397-08002B2CF9AE}" pid="9" name="degree">
    <vt:lpwstr>Doctorat</vt:lpwstr>
  </property>
  <property fmtid="{D5CDD505-2E9C-101B-9397-08002B2CF9AE}" pid="10" name="department">
    <vt:lpwstr>IRD, UMR 224 MIVEGEC</vt:lpwstr>
  </property>
  <property fmtid="{D5CDD505-2E9C-101B-9397-08002B2CF9AE}" pid="11" name="division">
    <vt:lpwstr>Ecologie et Biodiversité</vt:lpwstr>
  </property>
  <property fmtid="{D5CDD505-2E9C-101B-9397-08002B2CF9AE}" pid="12" name="header-includes">
    <vt:lpwstr/>
  </property>
  <property fmtid="{D5CDD505-2E9C-101B-9397-08002B2CF9AE}" pid="13" name="institution">
    <vt:lpwstr>GAIA</vt:lpwstr>
  </property>
  <property fmtid="{D5CDD505-2E9C-101B-9397-08002B2CF9AE}" pid="14" name="knit">
    <vt:lpwstr>bookdown::render_book</vt:lpwstr>
  </property>
  <property fmtid="{D5CDD505-2E9C-101B-9397-08002B2CF9AE}" pid="15" name="link-citations">
    <vt:lpwstr>True</vt:lpwstr>
  </property>
  <property fmtid="{D5CDD505-2E9C-101B-9397-08002B2CF9AE}" pid="16" name="linkcolor">
    <vt:lpwstr>blue</vt:lpwstr>
  </property>
  <property fmtid="{D5CDD505-2E9C-101B-9397-08002B2CF9AE}" pid="17" name="lof">
    <vt:lpwstr>True</vt:lpwstr>
  </property>
  <property fmtid="{D5CDD505-2E9C-101B-9397-08002B2CF9AE}" pid="18" name="lot">
    <vt:lpwstr>True</vt:lpwstr>
  </property>
  <property fmtid="{D5CDD505-2E9C-101B-9397-08002B2CF9AE}" pid="19" name="nocite">
    <vt:lpwstr>@angel2000, @angel2001, @angel2002a</vt:lpwstr>
  </property>
  <property fmtid="{D5CDD505-2E9C-101B-9397-08002B2CF9AE}" pid="20" name="output">
    <vt:lpwstr/>
  </property>
  <property fmtid="{D5CDD505-2E9C-101B-9397-08002B2CF9AE}" pid="21" name="params">
    <vt:lpwstr/>
  </property>
  <property fmtid="{D5CDD505-2E9C-101B-9397-08002B2CF9AE}" pid="22" name="site">
    <vt:lpwstr>bookdown::bookdown_site</vt:lpwstr>
  </property>
  <property fmtid="{D5CDD505-2E9C-101B-9397-08002B2CF9AE}" pid="23" name="toc-depth">
    <vt:lpwstr>2</vt:lpwstr>
  </property>
</Properties>
</file>